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9E8F2">
      <w:pPr>
        <w:keepNext w:val="0"/>
        <w:keepLines w:val="0"/>
        <w:widowControl/>
        <w:suppressLineNumbers w:val="0"/>
        <w:autoSpaceDE w:val="0"/>
        <w:autoSpaceDN w:val="0"/>
        <w:spacing w:before="0" w:beforeAutospacing="0" w:after="0" w:afterAutospacing="1" w:line="590" w:lineRule="atLeast"/>
        <w:ind w:left="0" w:right="0"/>
        <w:jc w:val="center"/>
        <w:rPr>
          <w:rFonts w:hint="eastAsia" w:ascii="宋体" w:hAnsi="宋体" w:eastAsia="宋体" w:cs="宋体"/>
          <w:kern w:val="0"/>
          <w:sz w:val="44"/>
          <w:szCs w:val="44"/>
        </w:rPr>
      </w:pPr>
      <w:r>
        <w:rPr>
          <w:rFonts w:hint="eastAsia" w:ascii="方正小标宋_GBK" w:hAnsi="方正小标宋_GBK" w:eastAsia="方正小标宋_GBK" w:cs="方正小标宋_GBK"/>
          <w:kern w:val="0"/>
          <w:sz w:val="44"/>
          <w:szCs w:val="44"/>
          <w:shd w:val="clear" w:fill="FFFFFF"/>
        </w:rPr>
        <w:t>昆明科技进修学院2020年度部门决算</w:t>
      </w:r>
      <w:bookmarkStart w:id="0" w:name="_GoBack"/>
      <w:bookmarkEnd w:id="0"/>
    </w:p>
    <w:p w14:paraId="68EC61A8">
      <w:pPr>
        <w:keepNext w:val="0"/>
        <w:keepLines w:val="0"/>
        <w:widowControl/>
        <w:suppressLineNumbers w:val="0"/>
        <w:autoSpaceDE w:val="0"/>
        <w:autoSpaceDN w:val="0"/>
        <w:spacing w:before="0" w:beforeAutospacing="0" w:after="0" w:afterAutospacing="1" w:line="59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shd w:val="clear" w:fill="FFFFFF"/>
        </w:rPr>
        <w:t xml:space="preserve"> </w:t>
      </w:r>
    </w:p>
    <w:p w14:paraId="41F6639C">
      <w:pPr>
        <w:keepNext w:val="0"/>
        <w:keepLines w:val="0"/>
        <w:widowControl/>
        <w:suppressLineNumbers w:val="0"/>
        <w:autoSpaceDE w:val="0"/>
        <w:autoSpaceDN w:val="0"/>
        <w:spacing w:before="0" w:beforeAutospacing="0" w:after="0" w:afterAutospacing="1" w:line="590" w:lineRule="atLeast"/>
        <w:ind w:left="0" w:right="0"/>
        <w:jc w:val="center"/>
        <w:rPr>
          <w:rFonts w:hint="eastAsia" w:ascii="宋体" w:hAnsi="宋体" w:eastAsia="宋体" w:cs="宋体"/>
          <w:kern w:val="0"/>
          <w:sz w:val="24"/>
          <w:szCs w:val="24"/>
        </w:rPr>
      </w:pPr>
      <w:r>
        <w:rPr>
          <w:rFonts w:hint="eastAsia" w:ascii="黑体" w:hAnsi="宋体" w:eastAsia="黑体" w:cs="黑体"/>
          <w:kern w:val="0"/>
          <w:sz w:val="36"/>
          <w:szCs w:val="36"/>
          <w:shd w:val="clear" w:fill="FFFFFF"/>
        </w:rPr>
        <w:t>目录</w:t>
      </w:r>
    </w:p>
    <w:p w14:paraId="0B04D9EA">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黑体" w:hAnsi="宋体" w:eastAsia="黑体" w:cs="黑体"/>
          <w:kern w:val="0"/>
          <w:sz w:val="30"/>
          <w:szCs w:val="30"/>
          <w:shd w:val="clear" w:fill="FFFFFF"/>
        </w:rPr>
        <w:t>第一部分  昆明科技进修学院概况</w:t>
      </w:r>
    </w:p>
    <w:p w14:paraId="2328C2FE">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一、主要职能</w:t>
      </w:r>
    </w:p>
    <w:p w14:paraId="4F98AB2D">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二、部门基本情况</w:t>
      </w:r>
    </w:p>
    <w:p w14:paraId="4CB2DDC3">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黑体" w:hAnsi="宋体" w:eastAsia="黑体" w:cs="黑体"/>
          <w:kern w:val="0"/>
          <w:sz w:val="30"/>
          <w:szCs w:val="30"/>
          <w:shd w:val="clear" w:fill="FFFFFF"/>
        </w:rPr>
        <w:t>第二部分  2020年度部门决算表</w:t>
      </w:r>
    </w:p>
    <w:p w14:paraId="232D1444">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一、收入支出决算总表</w:t>
      </w:r>
    </w:p>
    <w:p w14:paraId="594A4EA8">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二、收入决算表</w:t>
      </w:r>
    </w:p>
    <w:p w14:paraId="0FD98519">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三、支出决算表</w:t>
      </w:r>
    </w:p>
    <w:p w14:paraId="7B5065BD">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四、财政拨款收入支出决算表</w:t>
      </w:r>
    </w:p>
    <w:p w14:paraId="5CDB84A1">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五、一般公共预算财政拨款收入支出决算表</w:t>
      </w:r>
    </w:p>
    <w:p w14:paraId="1005530A">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六、一般公共预算财政拨款基本支出决算表</w:t>
      </w:r>
    </w:p>
    <w:p w14:paraId="038BAAAC">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七、政府性基金预算财政拨款收入支出决算表</w:t>
      </w:r>
    </w:p>
    <w:p w14:paraId="587BBFDF">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八、国有资本经营预算财政拨款收入支出决算表</w:t>
      </w:r>
    </w:p>
    <w:p w14:paraId="6FC886E9">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九、</w:t>
      </w:r>
      <w:r>
        <w:rPr>
          <w:rFonts w:hint="eastAsia" w:ascii="宋体" w:hAnsi="宋体" w:eastAsia="宋体" w:cs="宋体"/>
          <w:kern w:val="0"/>
          <w:sz w:val="24"/>
          <w:szCs w:val="24"/>
          <w:shd w:val="clear" w:fill="FFFFFF"/>
        </w:rPr>
        <w:t>“</w:t>
      </w:r>
      <w:r>
        <w:rPr>
          <w:rFonts w:hint="eastAsia" w:ascii="楷体" w:hAnsi="楷体" w:eastAsia="楷体" w:cs="楷体"/>
          <w:kern w:val="0"/>
          <w:sz w:val="30"/>
          <w:szCs w:val="30"/>
          <w:shd w:val="clear" w:fill="FFFFFF"/>
        </w:rPr>
        <w:t>三公</w:t>
      </w:r>
      <w:r>
        <w:rPr>
          <w:rFonts w:hint="eastAsia" w:ascii="宋体" w:hAnsi="宋体" w:eastAsia="宋体" w:cs="宋体"/>
          <w:kern w:val="0"/>
          <w:sz w:val="24"/>
          <w:szCs w:val="24"/>
          <w:shd w:val="clear" w:fill="FFFFFF"/>
        </w:rPr>
        <w:t>”</w:t>
      </w:r>
      <w:r>
        <w:rPr>
          <w:rFonts w:hint="eastAsia" w:ascii="楷体" w:hAnsi="楷体" w:eastAsia="楷体" w:cs="楷体"/>
          <w:kern w:val="0"/>
          <w:sz w:val="30"/>
          <w:szCs w:val="30"/>
          <w:shd w:val="clear" w:fill="FFFFFF"/>
        </w:rPr>
        <w:t>经费、行政参公单位机关运行经费情况表</w:t>
      </w:r>
    </w:p>
    <w:p w14:paraId="01CF7D7B">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黑体" w:hAnsi="宋体" w:eastAsia="黑体" w:cs="黑体"/>
          <w:kern w:val="0"/>
          <w:sz w:val="30"/>
          <w:szCs w:val="30"/>
          <w:shd w:val="clear" w:fill="FFFFFF"/>
        </w:rPr>
        <w:t>第三部分  2020年度部门决算情况说明</w:t>
      </w:r>
    </w:p>
    <w:p w14:paraId="0FABEC1C">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一、收入决算情况说明</w:t>
      </w:r>
    </w:p>
    <w:p w14:paraId="52B15D8D">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二、支出决算情况说明</w:t>
      </w:r>
    </w:p>
    <w:p w14:paraId="73933BC5">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三、一般公共预算财政拨款支出决算情况说明</w:t>
      </w:r>
    </w:p>
    <w:p w14:paraId="229C35A1">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四、一般公共预算财政拨款</w:t>
      </w:r>
      <w:r>
        <w:rPr>
          <w:rFonts w:hint="eastAsia" w:ascii="宋体" w:hAnsi="宋体" w:eastAsia="宋体" w:cs="宋体"/>
          <w:kern w:val="0"/>
          <w:sz w:val="24"/>
          <w:szCs w:val="24"/>
          <w:shd w:val="clear" w:fill="FFFFFF"/>
        </w:rPr>
        <w:t>“</w:t>
      </w:r>
      <w:r>
        <w:rPr>
          <w:rFonts w:hint="eastAsia" w:ascii="楷体" w:hAnsi="楷体" w:eastAsia="楷体" w:cs="楷体"/>
          <w:kern w:val="0"/>
          <w:sz w:val="30"/>
          <w:szCs w:val="30"/>
          <w:shd w:val="clear" w:fill="FFFFFF"/>
        </w:rPr>
        <w:t>三公</w:t>
      </w:r>
      <w:r>
        <w:rPr>
          <w:rFonts w:hint="eastAsia" w:ascii="宋体" w:hAnsi="宋体" w:eastAsia="宋体" w:cs="宋体"/>
          <w:kern w:val="0"/>
          <w:sz w:val="24"/>
          <w:szCs w:val="24"/>
          <w:shd w:val="clear" w:fill="FFFFFF"/>
        </w:rPr>
        <w:t>”</w:t>
      </w:r>
      <w:r>
        <w:rPr>
          <w:rFonts w:hint="eastAsia" w:ascii="楷体" w:hAnsi="楷体" w:eastAsia="楷体" w:cs="楷体"/>
          <w:kern w:val="0"/>
          <w:sz w:val="30"/>
          <w:szCs w:val="30"/>
          <w:shd w:val="clear" w:fill="FFFFFF"/>
        </w:rPr>
        <w:t>经费支出决算情况说明</w:t>
      </w:r>
    </w:p>
    <w:p w14:paraId="1EDE794A">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黑体" w:hAnsi="宋体" w:eastAsia="黑体" w:cs="黑体"/>
          <w:kern w:val="0"/>
          <w:sz w:val="30"/>
          <w:szCs w:val="30"/>
          <w:shd w:val="clear" w:fill="FFFFFF"/>
        </w:rPr>
        <w:t>第四部分  其他重要事项及相关口径情况说明</w:t>
      </w:r>
    </w:p>
    <w:p w14:paraId="37D42688">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一、机关运行经费支出情况</w:t>
      </w:r>
    </w:p>
    <w:p w14:paraId="5DD8383F">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二、国有资产占用情况</w:t>
      </w:r>
    </w:p>
    <w:p w14:paraId="2F248CAA">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三、政府采购支出情况</w:t>
      </w:r>
    </w:p>
    <w:p w14:paraId="74F21AE3">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四、部门绩效自评情况</w:t>
      </w:r>
    </w:p>
    <w:p w14:paraId="376004B5">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（一）部门整体支出绩效自评情况</w:t>
      </w:r>
    </w:p>
    <w:p w14:paraId="41ADAB8B">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（二）部门整体支出绩效自评表</w:t>
      </w:r>
    </w:p>
    <w:p w14:paraId="0AB8F67A">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（三）项目支出绩效自评表</w:t>
      </w:r>
    </w:p>
    <w:p w14:paraId="78891116">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五、其他重要事项情况说明</w:t>
      </w:r>
    </w:p>
    <w:p w14:paraId="5717B65C">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楷体" w:hAnsi="楷体" w:eastAsia="楷体" w:cs="楷体"/>
          <w:kern w:val="0"/>
          <w:sz w:val="30"/>
          <w:szCs w:val="30"/>
          <w:shd w:val="clear" w:fill="FFFFFF"/>
        </w:rPr>
        <w:t>六、相关口径说明</w:t>
      </w:r>
    </w:p>
    <w:p w14:paraId="60FBEEAD">
      <w:pPr>
        <w:keepNext w:val="0"/>
        <w:keepLines w:val="0"/>
        <w:widowControl/>
        <w:suppressLineNumbers w:val="0"/>
        <w:autoSpaceDE w:val="0"/>
        <w:autoSpaceDN w:val="0"/>
        <w:snapToGrid w:val="0"/>
        <w:spacing w:before="0" w:beforeAutospacing="0" w:after="0" w:afterAutospacing="1"/>
        <w:ind w:left="0" w:right="0" w:firstLine="600" w:firstLineChars="200"/>
        <w:jc w:val="left"/>
        <w:rPr>
          <w:rFonts w:hint="eastAsia" w:ascii="宋体" w:hAnsi="宋体" w:eastAsia="宋体" w:cs="宋体"/>
          <w:kern w:val="0"/>
          <w:sz w:val="24"/>
          <w:szCs w:val="24"/>
        </w:rPr>
      </w:pPr>
      <w:r>
        <w:rPr>
          <w:rFonts w:hint="eastAsia" w:ascii="黑体" w:hAnsi="宋体" w:eastAsia="黑体" w:cs="黑体"/>
          <w:kern w:val="0"/>
          <w:sz w:val="30"/>
          <w:szCs w:val="30"/>
          <w:shd w:val="clear" w:fill="FFFFFF"/>
        </w:rPr>
        <w:t>第五部分  名词解释</w:t>
      </w:r>
    </w:p>
    <w:p w14:paraId="6F55EBA8">
      <w:pPr>
        <w:keepNext w:val="0"/>
        <w:keepLines w:val="0"/>
        <w:widowControl/>
        <w:suppressLineNumbers w:val="0"/>
        <w:autoSpaceDE w:val="0"/>
        <w:autoSpaceDN w:val="0"/>
        <w:spacing w:before="0" w:beforeAutospacing="0" w:after="0" w:afterAutospacing="1" w:line="60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rPr>
        <w:t xml:space="preserve"> </w:t>
      </w:r>
    </w:p>
    <w:p w14:paraId="43613C71">
      <w:pPr>
        <w:keepNext w:val="0"/>
        <w:keepLines w:val="0"/>
        <w:widowControl/>
        <w:suppressLineNumbers w:val="0"/>
        <w:autoSpaceDE w:val="0"/>
        <w:autoSpaceDN w:val="0"/>
        <w:spacing w:before="0" w:beforeAutospacing="0" w:after="0" w:afterAutospacing="1" w:line="600" w:lineRule="atLeast"/>
        <w:ind w:left="0" w:right="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14:paraId="48C21666">
      <w:pPr>
        <w:keepNext w:val="0"/>
        <w:keepLines w:val="0"/>
        <w:widowControl/>
        <w:suppressLineNumbers w:val="0"/>
        <w:autoSpaceDE w:val="0"/>
        <w:autoSpaceDN w:val="0"/>
        <w:spacing w:before="0" w:beforeAutospacing="0" w:after="0" w:afterAutospacing="1" w:line="600" w:lineRule="atLeast"/>
        <w:ind w:left="0" w:right="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14:paraId="3D9C36F0">
      <w:pPr>
        <w:keepNext w:val="0"/>
        <w:keepLines w:val="0"/>
        <w:widowControl/>
        <w:suppressLineNumbers w:val="0"/>
        <w:autoSpaceDE w:val="0"/>
        <w:autoSpaceDN w:val="0"/>
        <w:spacing w:before="0" w:beforeAutospacing="0" w:after="0" w:afterAutospacing="1" w:line="600" w:lineRule="atLeast"/>
        <w:ind w:left="0" w:right="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14:paraId="438756C7">
      <w:pPr>
        <w:keepNext w:val="0"/>
        <w:keepLines w:val="0"/>
        <w:widowControl/>
        <w:suppressLineNumbers w:val="0"/>
        <w:autoSpaceDE w:val="0"/>
        <w:autoSpaceDN w:val="0"/>
        <w:spacing w:before="0" w:beforeAutospacing="0" w:after="0" w:afterAutospacing="1" w:line="600" w:lineRule="atLeast"/>
        <w:ind w:left="0" w:right="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14:paraId="2C264487">
      <w:pPr>
        <w:keepNext w:val="0"/>
        <w:keepLines w:val="0"/>
        <w:widowControl/>
        <w:suppressLineNumbers w:val="0"/>
        <w:autoSpaceDE w:val="0"/>
        <w:autoSpaceDN w:val="0"/>
        <w:spacing w:before="0" w:beforeAutospacing="0" w:after="0" w:afterAutospacing="1" w:line="60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rPr>
        <w:t xml:space="preserve"> </w:t>
      </w:r>
    </w:p>
    <w:p w14:paraId="451D6F6B">
      <w:pPr>
        <w:keepNext w:val="0"/>
        <w:keepLines w:val="0"/>
        <w:widowControl/>
        <w:suppressLineNumbers w:val="0"/>
        <w:autoSpaceDE w:val="0"/>
        <w:autoSpaceDN w:val="0"/>
        <w:spacing w:before="0" w:beforeAutospacing="0" w:after="0" w:afterAutospacing="1" w:line="590" w:lineRule="atLeast"/>
        <w:ind w:left="0" w:right="0"/>
        <w:jc w:val="center"/>
        <w:rPr>
          <w:rFonts w:hint="eastAsia" w:ascii="宋体" w:hAnsi="宋体" w:eastAsia="宋体" w:cs="宋体"/>
          <w:kern w:val="0"/>
          <w:sz w:val="24"/>
          <w:szCs w:val="24"/>
        </w:rPr>
      </w:pPr>
      <w:r>
        <w:rPr>
          <w:rFonts w:hint="eastAsia" w:ascii="黑体" w:hAnsi="宋体" w:eastAsia="黑体" w:cs="黑体"/>
          <w:kern w:val="0"/>
          <w:sz w:val="32"/>
          <w:szCs w:val="32"/>
          <w:shd w:val="clear" w:fill="FFFFFF"/>
        </w:rPr>
        <w:t>第一部分  昆明科技进修学院概况</w:t>
      </w:r>
    </w:p>
    <w:p w14:paraId="2B7436BF">
      <w:pPr>
        <w:keepNext w:val="0"/>
        <w:keepLines w:val="0"/>
        <w:widowControl/>
        <w:suppressLineNumbers w:val="0"/>
        <w:autoSpaceDE w:val="0"/>
        <w:autoSpaceDN w:val="0"/>
        <w:spacing w:before="0" w:beforeAutospacing="0" w:after="0" w:afterAutospacing="0"/>
        <w:ind w:left="0" w:right="0" w:firstLine="640" w:firstLineChars="200"/>
        <w:jc w:val="left"/>
        <w:rPr>
          <w:rFonts w:hint="eastAsia" w:ascii="宋体" w:hAnsi="宋体" w:eastAsia="宋体" w:cs="宋体"/>
          <w:kern w:val="0"/>
          <w:sz w:val="32"/>
          <w:szCs w:val="32"/>
        </w:rPr>
      </w:pPr>
      <w:r>
        <w:rPr>
          <w:rFonts w:hint="eastAsia" w:ascii="黑体" w:hAnsi="宋体" w:eastAsia="黑体" w:cs="黑体"/>
          <w:kern w:val="0"/>
          <w:sz w:val="32"/>
          <w:szCs w:val="32"/>
          <w:shd w:val="clear" w:fill="FFFFFF"/>
        </w:rPr>
        <w:t>一、主要职能</w:t>
      </w:r>
    </w:p>
    <w:p w14:paraId="49AFA3BE">
      <w:pPr>
        <w:keepNext w:val="0"/>
        <w:keepLines w:val="0"/>
        <w:widowControl/>
        <w:suppressLineNumbers w:val="0"/>
        <w:autoSpaceDE w:val="0"/>
        <w:autoSpaceDN w:val="0"/>
        <w:spacing w:before="0" w:beforeAutospacing="0" w:after="0" w:afterAutospacing="0"/>
        <w:ind w:left="0" w:right="0"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shd w:val="clear" w:fill="FFFFFF"/>
        </w:rPr>
        <w:t>（一）主要职能</w:t>
      </w:r>
    </w:p>
    <w:p w14:paraId="1946EA93">
      <w:pPr>
        <w:keepNext w:val="0"/>
        <w:keepLines w:val="0"/>
        <w:widowControl/>
        <w:suppressLineNumbers w:val="0"/>
        <w:autoSpaceDE w:val="0"/>
        <w:autoSpaceDN w:val="0"/>
        <w:spacing w:before="0" w:beforeAutospacing="0" w:after="0" w:afterAutospacing="0"/>
        <w:ind w:left="0" w:right="0" w:firstLine="640" w:firstLineChars="200"/>
        <w:jc w:val="left"/>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负责组织开展我市“全国科普日”活动，对全市公民实施科普宣传教育;负责全市农函大的组织管理、教学指导，组织科普专家服务团到农村开展科普和实用技术讲座活动;对我市农村党员干部进行科普远程教育，对科协系统领导干部和专业技术人员进行常规和专题培训;协助科协开展学术交流，学术年会，做好昆明市青年科技奖、昆明市优秀科技工作者、昆明市优秀论文的评选工作;对科普志愿者、科普宣传员、科技辅导员进行科学素质和科技辅导能力培养。</w:t>
      </w:r>
    </w:p>
    <w:p w14:paraId="1A912462">
      <w:pPr>
        <w:keepNext w:val="0"/>
        <w:keepLines w:val="0"/>
        <w:widowControl/>
        <w:suppressLineNumbers w:val="0"/>
        <w:autoSpaceDE w:val="0"/>
        <w:autoSpaceDN w:val="0"/>
        <w:spacing w:before="0" w:beforeAutospacing="0" w:after="0" w:afterAutospacing="0"/>
        <w:ind w:left="0" w:right="0"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shd w:val="clear" w:fill="FFFFFF"/>
        </w:rPr>
        <w:t>（二）2020年度重点工作任务介绍</w:t>
      </w:r>
    </w:p>
    <w:p w14:paraId="7D666F71">
      <w:pPr>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s="Times New Roman"/>
          <w:color w:val="000000"/>
          <w:kern w:val="2"/>
          <w:sz w:val="32"/>
          <w:szCs w:val="32"/>
          <w:lang w:val="en-US" w:eastAsia="zh-CN"/>
        </w:rPr>
        <w:t>1.</w:t>
      </w:r>
      <w:r>
        <w:rPr>
          <w:rFonts w:hint="eastAsia" w:ascii="仿宋_GB2312" w:hAnsi="Times New Roman" w:eastAsia="仿宋_GB2312" w:cs="Times New Roman"/>
          <w:color w:val="000000"/>
          <w:kern w:val="2"/>
          <w:sz w:val="32"/>
          <w:szCs w:val="32"/>
        </w:rPr>
        <w:t>加强领导,</w:t>
      </w:r>
      <w:r>
        <w:rPr>
          <w:rFonts w:hint="eastAsia" w:ascii="仿宋_GB2312" w:hAnsi="Times New Roman" w:eastAsia="仿宋_GB2312"/>
          <w:color w:val="000000"/>
          <w:sz w:val="32"/>
          <w:szCs w:val="32"/>
        </w:rPr>
        <w:t>“全国科普日”活动高质量蓬勃开展</w:t>
      </w:r>
    </w:p>
    <w:p w14:paraId="0849F9FD">
      <w:pPr>
        <w:keepNext w:val="0"/>
        <w:keepLines w:val="0"/>
        <w:pageBreakBefore w:val="0"/>
        <w:widowControl/>
        <w:kinsoku/>
        <w:wordWrap/>
        <w:overflowPunct/>
        <w:topLinePunct w:val="0"/>
        <w:autoSpaceDE/>
        <w:autoSpaceDN/>
        <w:bidi w:val="0"/>
        <w:adjustRightInd/>
        <w:snapToGrid/>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为确保2020年“全国科普日”活动高质量蓬勃开展，市科协高度重视，加强领导：一是加强与云南省科协、西山区科协、昆明报业传媒集团</w:t>
      </w:r>
      <w:r>
        <w:rPr>
          <w:rFonts w:hint="cs" w:ascii="仿宋_GB2312" w:eastAsia="仿宋_GB2312"/>
          <w:color w:val="000000"/>
          <w:sz w:val="32"/>
          <w:szCs w:val="32"/>
        </w:rPr>
        <w:t>•</w:t>
      </w:r>
      <w:r>
        <w:rPr>
          <w:rFonts w:hint="eastAsia" w:ascii="仿宋_GB2312" w:eastAsia="仿宋_GB2312"/>
          <w:color w:val="000000"/>
          <w:sz w:val="32"/>
          <w:szCs w:val="32"/>
        </w:rPr>
        <w:t>掌上春城、昆明融创文旅城的沟通协调，多次召开科普日工作会进行研究部署，认真做好2020年“全国科普日”云南省特色专场暨昆明市主场活动的组织筹备工作；二是市级8家主办单位联合下发了《关于举办2020年昆明市全国科普日活动的通知》，将开展科普日活动的相关事宜、要求等予以明确，确保各项工作有序开展；三是制定了《2020年昆明市全国科普日活动方案》，对科普日重点活动、流程、进度进行逐项分解，做到细致可行；四是编制《2020年昆明市全国科普日活动指南》，详细介绍了科普日期间各项活动开展的时间、地点、内容等，同时加入线上科普二维码等，方便公众自主选择参与和浏览。</w:t>
      </w:r>
    </w:p>
    <w:p w14:paraId="71308E7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我市全国科普日活动紧扣“决胜全面小康，践行科技为民”主题，围绕“</w:t>
      </w:r>
      <w:r>
        <w:rPr>
          <w:rFonts w:ascii="仿宋_GB2312" w:eastAsia="仿宋_GB2312"/>
          <w:color w:val="000000"/>
          <w:sz w:val="32"/>
          <w:szCs w:val="32"/>
        </w:rPr>
        <w:t>弘扬科学精神，展现科学价值</w:t>
      </w:r>
      <w:r>
        <w:rPr>
          <w:rFonts w:hint="eastAsia" w:ascii="仿宋_GB2312" w:eastAsia="仿宋_GB2312"/>
          <w:color w:val="000000"/>
          <w:sz w:val="32"/>
          <w:szCs w:val="32"/>
        </w:rPr>
        <w:t>”“助力疫情防控，推动健康科普”“聚焦脱贫攻坚，决胜全面小康”“加强科技志愿，彰显科技为民”内容展开，立足面向基层、服务发展，设置了“2020年全国科普日市级系列活动”“县（市）区科普日系列活动”“科普日10大系列联合行动”等板块，按照活动通知和方案，我市各县（市）区、学会（协会、研究会），街道、乡镇、社区，科普教育基地，社会各界等纷纷行动，集成各方资源，动员和组织广大科技工作者、科普志愿者深入新时代文明实践中心（所、站）、党群服务中心、农村、社区、学校、企业等，将科学技术普及与活动主题紧密结合，开展了“多阵地、多战线、广覆盖、齐参与”、线上线下相结合的一系列贴近实际、贴近生活、贴近群众的科普活动，共计开展活动400余项，市、县两级开展活动面达100％，活动期间参与群众约30余万人次，进一步提高了全国科普日活动的影响力和参与度。</w:t>
      </w:r>
      <w:r>
        <w:rPr>
          <w:rFonts w:hint="eastAsia" w:ascii="仿宋_GB2312" w:hAnsi="仿宋" w:eastAsia="仿宋_GB2312"/>
          <w:snapToGrid w:val="0"/>
          <w:sz w:val="32"/>
          <w:szCs w:val="32"/>
        </w:rPr>
        <w:t>在2020年全国科普日活动工作考核中，昆明市科协被中国科协办公厅评为2020年全国科普日优秀组织单位。</w:t>
      </w:r>
    </w:p>
    <w:p w14:paraId="7BA2A701">
      <w:pPr>
        <w:ind w:firstLine="640"/>
        <w:rPr>
          <w:rFonts w:hint="eastAsia" w:ascii="仿宋_GB2312" w:eastAsia="仿宋_GB2312"/>
          <w:color w:val="000000"/>
          <w:sz w:val="32"/>
          <w:szCs w:val="32"/>
        </w:rPr>
      </w:pPr>
      <w:r>
        <w:rPr>
          <w:rFonts w:hint="eastAsia" w:ascii="仿宋_GB2312" w:eastAsia="仿宋_GB2312"/>
          <w:color w:val="000000"/>
          <w:sz w:val="32"/>
          <w:szCs w:val="32"/>
        </w:rPr>
        <w:t>全国科普日活动期间，昆明市科协系统充分利用网络、电视、科普宣传栏、科普e站等多种媒介对科普日活动进行了广泛宣传，营造了活动的良好氛围：一是邀请掌上春城、昆明电视台等媒体对我市全国科普日活动进行全方位、多角度的报道；二是在市科协所属“昆明科普网”网站和《昆明科技》刊物上对科普日活动进行了集中宣传展示；三是通过“昆明市科协”官方微博、微信及时更新科普日活动动态，运用各类媒介引导公众参与和感受全国科普日活动, 深受群众好评。</w:t>
      </w:r>
    </w:p>
    <w:p w14:paraId="46D85076">
      <w:pPr>
        <w:ind w:firstLine="640"/>
        <w:rPr>
          <w:rFonts w:hint="eastAsia" w:ascii="仿宋_GB2312"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强化管理，农函大培训取得实效</w:t>
      </w:r>
    </w:p>
    <w:p w14:paraId="75DE3FC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加强与昆明市全民科学素养行动纲要实施领导小组成员单位的联系，抓住发展机遇，不断建立健全农函大培训网络，全面推进昆明市农函大工作的发展。截至目前，建立了14个县（市）区分校，97个乡镇（街道）辅导站，393个村（社区）教学点，有专（兼）职管理人员289人，有专（兼）职教师230人，形成了以昆明市农函大分校为中心，县（市）区农函大分校（辅导站）为主体、市妇联等有关部门为支持的上下贯通、管理有序、保障有力的覆盖全市的农函大培训网络。同时，依托社区科普大学、新农村建设示范点、乡风文明示范点等建立农函大办学点，在村委会和农技协科普村村通“一站一栏一员”示范点设立办学班，建立健全了昆明市、县、乡、村四级农函大教学管理体系。</w:t>
      </w:r>
    </w:p>
    <w:p w14:paraId="2DF27E01">
      <w:pPr>
        <w:adjustRightInd/>
        <w:snapToGrid/>
        <w:spacing w:line="240" w:lineRule="auto"/>
        <w:ind w:firstLine="640" w:firstLineChars="0"/>
        <w:rPr>
          <w:rFonts w:hint="eastAsia" w:ascii="仿宋_GB2312" w:eastAsia="仿宋_GB2312"/>
          <w:color w:val="000000"/>
          <w:sz w:val="32"/>
          <w:szCs w:val="32"/>
        </w:rPr>
      </w:pPr>
    </w:p>
    <w:p w14:paraId="123D1819">
      <w:pPr>
        <w:adjustRightInd/>
        <w:snapToGrid/>
        <w:spacing w:line="240" w:lineRule="auto"/>
        <w:ind w:firstLine="640" w:firstLineChars="0"/>
        <w:rPr>
          <w:rFonts w:hint="eastAsia" w:ascii="仿宋_GB2312" w:eastAsia="仿宋_GB2312"/>
          <w:color w:val="000000"/>
          <w:sz w:val="32"/>
          <w:szCs w:val="32"/>
        </w:rPr>
      </w:pPr>
      <w:r>
        <w:rPr>
          <w:rFonts w:hint="eastAsia" w:ascii="仿宋_GB2312" w:eastAsia="仿宋_GB2312"/>
          <w:color w:val="000000"/>
          <w:sz w:val="32"/>
          <w:szCs w:val="32"/>
        </w:rPr>
        <w:t>年初，按照省农函大下达的培训任务，认真研究，及时向县区下达培训任务，明确工作要求，要求各县区</w:t>
      </w:r>
      <w:r>
        <w:rPr>
          <w:rFonts w:hint="eastAsia" w:ascii="仿宋_GB2312" w:hAnsi="Times New Roman" w:eastAsia="仿宋_GB2312" w:cs="Times New Roman"/>
          <w:color w:val="000000"/>
          <w:kern w:val="2"/>
          <w:sz w:val="32"/>
          <w:szCs w:val="32"/>
        </w:rPr>
        <w:t>认真</w:t>
      </w:r>
      <w:r>
        <w:rPr>
          <w:rFonts w:hint="eastAsia" w:ascii="仿宋_GB2312" w:eastAsia="仿宋_GB2312"/>
          <w:color w:val="000000"/>
          <w:sz w:val="32"/>
          <w:szCs w:val="32"/>
        </w:rPr>
        <w:t>细化目标任务，切实完善规章制度，加强教学管理，创造性地开展好农函大招生、辅导、实习、结业证书办证等各项工作。按照《云南省农村致富函授大学工作考核管理试行办法》（云农函大</w:t>
      </w:r>
      <w:r>
        <w:rPr>
          <w:rFonts w:hint="eastAsia" w:ascii="仿宋_GB2312" w:hAnsi="Times New Roman" w:eastAsia="仿宋_GB2312"/>
          <w:color w:val="000000"/>
          <w:sz w:val="32"/>
          <w:szCs w:val="32"/>
        </w:rPr>
        <w:t>﹝2013﹞7号</w:t>
      </w:r>
      <w:r>
        <w:rPr>
          <w:rFonts w:hint="eastAsia" w:ascii="仿宋_GB2312" w:eastAsia="仿宋_GB2312"/>
          <w:color w:val="000000"/>
          <w:sz w:val="32"/>
          <w:szCs w:val="32"/>
        </w:rPr>
        <w:t>）文件要求,制定完善了《昆明市农函大工作考核管理办法》，详细明确了量化考核内容,加大考核管理力度，使考核更具有实效性和可操作性。12月8日,昆明市农函大对14个县（市）区农函大进行了集中量化考核，对认真总结2020年农函大培训工作经验，查找存在问题，提前谋划好2021年工作打下坚实基础。</w:t>
      </w:r>
    </w:p>
    <w:p w14:paraId="03AE3708">
      <w:pPr>
        <w:ind w:firstLine="640"/>
        <w:rPr>
          <w:rFonts w:hint="eastAsia" w:ascii="仿宋_GB2312" w:eastAsia="仿宋_GB2312"/>
          <w:color w:val="000000"/>
          <w:sz w:val="32"/>
          <w:szCs w:val="32"/>
        </w:rPr>
      </w:pPr>
      <w:r>
        <w:rPr>
          <w:rFonts w:hint="eastAsia" w:ascii="仿宋_GB2312" w:eastAsia="仿宋_GB2312"/>
          <w:color w:val="000000"/>
          <w:sz w:val="32"/>
          <w:szCs w:val="32"/>
        </w:rPr>
        <w:t>在昆明市科协的积极推动下，各县（市）区科协、农函大分校辅导站坚持为“三农”服务的宗旨，按照“实际、实用、实效”的办学原则，走联合办学，同农民技术职称资格认定相结合路子，把农村党员、基层干部、农村妇女及失地农民纳入农函大重点培训对象，认真制定农函大培训工作计划，及时启动农函大培训工作，创新教学模式，在教学中以面授辅导和教学实践相结合，建立了学员名册档案，对已结业的学员进行跟踪、调查、服务，并把科普示范基地作为农函大学员的实习基地，办学质量得到进一步提升。</w:t>
      </w:r>
    </w:p>
    <w:p w14:paraId="5D634DA5">
      <w:pPr>
        <w:ind w:firstLine="640"/>
        <w:rPr>
          <w:rFonts w:hint="eastAsia" w:ascii="仿宋_GB2312" w:eastAsia="仿宋_GB2312"/>
          <w:color w:val="000000"/>
          <w:sz w:val="32"/>
          <w:szCs w:val="32"/>
        </w:rPr>
      </w:pPr>
    </w:p>
    <w:p w14:paraId="35BF29C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2"/>
        </w:rPr>
      </w:pPr>
      <w:r>
        <w:rPr>
          <w:rFonts w:hint="eastAsia" w:ascii="仿宋_GB2312" w:eastAsia="仿宋_GB2312"/>
          <w:sz w:val="32"/>
          <w:szCs w:val="32"/>
        </w:rPr>
        <w:t>2020年开办农函大专业176个，办班数267期，培训学员18603人，其中省统办专业7464人，自办专业11139人，超额86%完成了省校年初下达的培训任务，通过抓严农函大培训工作，努力提高农民科学素质，为我市社会主义新农村建设培养了一批依靠科技调整产业结构，依靠科技勤劳致富的带头人。县区农函大紧紧围绕建设社会主义新农村建设这一中心工作，在不断扩大招生覆盖面的同时设法提高教学质量，专业方面既有高原特色种养殖培训，又结合城镇化和产业化发展的实际需求，因地制宜开办专业，农民实实在在学到科技知识和致富技能，受到广大群众欢迎，培训工作创新和亮点纷呈。昆明市农函大在2020年全省量化考核中被评为“云南省农函大2020年度办学先进集体一等奖”。</w:t>
      </w:r>
    </w:p>
    <w:p w14:paraId="2FA1A79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积极开展“百名专家科技下乡”活动。按时上报活动申报表，共申报活动60余项，全年“百名专家科技下乡”教学活动在五华区、西山区、官渡区、安宁市、嵩明县、东川区、寻甸县等县（市）区开展了40场，内容涉及生活中的法律知识、家庭教育和心理健康知识、草地贪夜蛾的发生与防治、苹果种植技术等，服务群众3500余人次，2021年将持续开展好讲学活动，进一步提升公民科学素质，助力脱贫攻坚工作。</w:t>
      </w:r>
    </w:p>
    <w:p w14:paraId="40E00BBB">
      <w:pPr>
        <w:ind w:firstLine="640"/>
        <w:rPr>
          <w:rFonts w:hint="eastAsia" w:ascii="仿宋_GB2312" w:hAnsi="Times New Roman" w:eastAsia="仿宋_GB2312" w:cs="Times New Roman"/>
          <w:color w:val="000000"/>
          <w:kern w:val="2"/>
          <w:sz w:val="32"/>
          <w:szCs w:val="32"/>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s="Times New Roman"/>
          <w:color w:val="000000"/>
          <w:kern w:val="2"/>
          <w:sz w:val="32"/>
          <w:szCs w:val="32"/>
        </w:rPr>
        <w:t>认真开展依法治市和法治宣传教育工作</w:t>
      </w:r>
    </w:p>
    <w:p w14:paraId="3A8217E7">
      <w:pPr>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olor w:val="000000"/>
          <w:sz w:val="32"/>
          <w:szCs w:val="32"/>
        </w:rPr>
        <w:t>根据中共昆明市委全面依法治市委员会要求，昆明市科协按照《市委全面依法治市委员会2020年工作要点》和《2020年法治建设目标管理责任书》明确的目标任务，结合科协工作实际，制定《昆明市科协2020年依法治理工作要点》及任务分解表。积极组织开展2020年全民国家安全教育日普法宣传活动 ，</w:t>
      </w:r>
      <w:r>
        <w:rPr>
          <w:rFonts w:hint="eastAsia" w:ascii="仿宋_GB2312" w:hAnsi="Times New Roman" w:eastAsia="仿宋_GB2312" w:cs="Times New Roman"/>
          <w:color w:val="000000"/>
          <w:sz w:val="32"/>
          <w:szCs w:val="32"/>
        </w:rPr>
        <w:t>利用微信微博等渠道，大力开展宣传安全教育日普法宣传活动。</w:t>
      </w:r>
    </w:p>
    <w:p w14:paraId="32E569F8">
      <w:pPr>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积极组织参加</w:t>
      </w:r>
      <w:r>
        <w:rPr>
          <w:rFonts w:hint="eastAsia" w:ascii="仿宋_GB2312" w:hAnsi="Times New Roman" w:eastAsia="仿宋_GB2312"/>
          <w:color w:val="000000"/>
          <w:sz w:val="32"/>
          <w:szCs w:val="32"/>
          <w:lang w:val="zh-TW"/>
        </w:rPr>
        <w:t>2020年度在线学法工作, 根据昆明市普</w:t>
      </w:r>
      <w:r>
        <w:rPr>
          <w:rFonts w:hint="eastAsia" w:ascii="仿宋_GB2312" w:hAnsi="Times New Roman" w:eastAsia="仿宋_GB2312"/>
          <w:color w:val="000000"/>
          <w:sz w:val="32"/>
          <w:szCs w:val="32"/>
        </w:rPr>
        <w:t>及法律常识办公室《关于转发&lt;云南省普及法律常识办公室关于2020年度在线学法工作的通知&gt;（云普办〔2020〕8号）》文件要求，经市科协依法治理领导小组会议研究决定，下发了《昆明市科协关于参加2020年度在线学法工作的通知》，对2020年度国家工作人员在线学法工作启动和结束时间、学法要求做了明确规定，要求全体干部职工积极参加2020年度在线学法，不断增强法律意识。</w:t>
      </w:r>
    </w:p>
    <w:p w14:paraId="387A8CC4">
      <w:pPr>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召开昆明市科协2020年</w:t>
      </w:r>
      <w:r>
        <w:rPr>
          <w:rFonts w:hint="eastAsia" w:ascii="仿宋_GB2312" w:hAnsi="Times New Roman" w:eastAsia="仿宋_GB2312"/>
          <w:color w:val="000000"/>
          <w:sz w:val="32"/>
          <w:szCs w:val="32"/>
          <w:lang w:eastAsia="zh-CN"/>
        </w:rPr>
        <w:t>《中华人民共和国宪法》</w:t>
      </w:r>
      <w:r>
        <w:rPr>
          <w:rFonts w:hint="eastAsia" w:ascii="仿宋_GB2312" w:hAnsi="Times New Roman" w:eastAsia="仿宋_GB2312"/>
          <w:color w:val="000000"/>
          <w:sz w:val="32"/>
          <w:szCs w:val="32"/>
        </w:rPr>
        <w:t>专题学习会,6月10日，昆明市科协组织召开</w:t>
      </w:r>
      <w:r>
        <w:rPr>
          <w:rFonts w:hint="eastAsia" w:ascii="仿宋_GB2312" w:hAnsi="Times New Roman" w:eastAsia="仿宋_GB2312"/>
          <w:color w:val="000000"/>
          <w:sz w:val="32"/>
          <w:szCs w:val="32"/>
          <w:lang w:eastAsia="zh-CN"/>
        </w:rPr>
        <w:t>《中华人民共和国宪法》</w:t>
      </w:r>
      <w:r>
        <w:rPr>
          <w:rFonts w:hint="eastAsia" w:ascii="仿宋_GB2312" w:hAnsi="Times New Roman" w:eastAsia="仿宋_GB2312"/>
          <w:color w:val="000000"/>
          <w:sz w:val="32"/>
          <w:szCs w:val="32"/>
        </w:rPr>
        <w:t xml:space="preserve">专题学习会议，市科协机关各部（室）及所属事业单位全体成员参加了学习。      </w:t>
      </w:r>
    </w:p>
    <w:p w14:paraId="7360056D">
      <w:pPr>
        <w:ind w:firstLine="640"/>
        <w:rPr>
          <w:rFonts w:hint="eastAsia" w:ascii="仿宋_GB2312" w:hAnsi="Times New Roman" w:eastAsia="仿宋_GB2312" w:cs="Times New Roman"/>
          <w:color w:val="000000"/>
          <w:sz w:val="32"/>
          <w:szCs w:val="32"/>
        </w:rPr>
      </w:pPr>
      <w:r>
        <w:rPr>
          <w:rFonts w:hint="eastAsia" w:ascii="仿宋_GB2312" w:hAnsi="Times New Roman" w:eastAsia="仿宋_GB2312"/>
          <w:color w:val="000000"/>
          <w:sz w:val="32"/>
          <w:szCs w:val="32"/>
        </w:rPr>
        <w:t>深入社区开展扫黑除恶宣传教育活动,</w:t>
      </w:r>
      <w:r>
        <w:rPr>
          <w:rFonts w:hint="eastAsia" w:ascii="仿宋_GB2312" w:hAnsi="Times New Roman" w:eastAsia="仿宋_GB2312" w:cs="Times New Roman"/>
          <w:color w:val="000000"/>
          <w:sz w:val="32"/>
          <w:szCs w:val="32"/>
        </w:rPr>
        <w:t>按照上级关于</w:t>
      </w:r>
      <w:r>
        <w:rPr>
          <w:rFonts w:hint="eastAsia" w:ascii="仿宋_GB2312" w:hAnsi="Times New Roman" w:eastAsia="仿宋_GB2312" w:cs="Times New Roman"/>
          <w:color w:val="000000"/>
          <w:kern w:val="2"/>
          <w:sz w:val="32"/>
          <w:szCs w:val="32"/>
        </w:rPr>
        <w:t>夺取</w:t>
      </w:r>
      <w:r>
        <w:rPr>
          <w:rFonts w:hint="eastAsia" w:ascii="仿宋_GB2312" w:hAnsi="Times New Roman" w:eastAsia="仿宋_GB2312" w:cs="Times New Roman"/>
          <w:color w:val="000000"/>
          <w:kern w:val="2"/>
          <w:sz w:val="32"/>
          <w:szCs w:val="32"/>
          <w:lang w:eastAsia="zh-CN"/>
        </w:rPr>
        <w:t>扫黑除恶斗争</w:t>
      </w:r>
      <w:r>
        <w:rPr>
          <w:rFonts w:hint="eastAsia" w:ascii="仿宋_GB2312" w:hAnsi="Times New Roman" w:eastAsia="仿宋_GB2312" w:cs="Times New Roman"/>
          <w:color w:val="000000"/>
          <w:kern w:val="2"/>
          <w:sz w:val="32"/>
          <w:szCs w:val="32"/>
        </w:rPr>
        <w:t>全面胜利的工作要求，以开展扫黑除恶“一十百千万”行动为牵引，</w:t>
      </w:r>
      <w:r>
        <w:rPr>
          <w:rFonts w:hint="eastAsia" w:ascii="仿宋_GB2312" w:hAnsi="Times New Roman" w:eastAsia="仿宋_GB2312" w:cs="Times New Roman"/>
          <w:color w:val="000000"/>
          <w:sz w:val="32"/>
          <w:szCs w:val="32"/>
        </w:rPr>
        <w:t>开展了扫黑除恶宣传活动，向官渡区金马街道大树营社区群众发放“扫黑除恶十问”宣传资料160余份，向群众重点宣传了</w:t>
      </w:r>
      <w:r>
        <w:rPr>
          <w:rFonts w:hint="eastAsia" w:ascii="仿宋_GB2312" w:hAnsi="Times New Roman" w:eastAsia="仿宋_GB2312" w:cs="Times New Roman"/>
          <w:color w:val="000000"/>
          <w:sz w:val="32"/>
          <w:szCs w:val="32"/>
          <w:lang w:eastAsia="zh-CN"/>
        </w:rPr>
        <w:t>扫黑除恶斗争</w:t>
      </w:r>
      <w:r>
        <w:rPr>
          <w:rFonts w:hint="eastAsia" w:ascii="仿宋_GB2312" w:hAnsi="Times New Roman" w:eastAsia="仿宋_GB2312" w:cs="Times New Roman"/>
          <w:color w:val="000000"/>
          <w:sz w:val="32"/>
          <w:szCs w:val="32"/>
        </w:rPr>
        <w:t>行动的重大意义、各阶段的目标、重点打击哪些黑恶犯罪行为等内容，通过开展宣传活动，进一步提升了辖区群众对</w:t>
      </w:r>
      <w:r>
        <w:rPr>
          <w:rFonts w:hint="eastAsia" w:ascii="仿宋_GB2312" w:hAnsi="Times New Roman" w:eastAsia="仿宋_GB2312" w:cs="Times New Roman"/>
          <w:color w:val="000000"/>
          <w:sz w:val="32"/>
          <w:szCs w:val="32"/>
          <w:lang w:eastAsia="zh-CN"/>
        </w:rPr>
        <w:t>扫黑除恶斗争</w:t>
      </w:r>
      <w:r>
        <w:rPr>
          <w:rFonts w:hint="eastAsia" w:ascii="仿宋_GB2312" w:hAnsi="Times New Roman" w:eastAsia="仿宋_GB2312" w:cs="Times New Roman"/>
          <w:color w:val="000000"/>
          <w:sz w:val="32"/>
          <w:szCs w:val="32"/>
        </w:rPr>
        <w:t>的认识，充分调动了群众支持、参与</w:t>
      </w:r>
      <w:r>
        <w:rPr>
          <w:rFonts w:hint="eastAsia" w:ascii="仿宋_GB2312" w:hAnsi="Times New Roman" w:eastAsia="仿宋_GB2312" w:cs="Times New Roman"/>
          <w:color w:val="000000"/>
          <w:sz w:val="32"/>
          <w:szCs w:val="32"/>
          <w:lang w:eastAsia="zh-CN"/>
        </w:rPr>
        <w:t>扫黑除恶斗争</w:t>
      </w:r>
      <w:r>
        <w:rPr>
          <w:rFonts w:hint="eastAsia" w:ascii="仿宋_GB2312" w:hAnsi="Times New Roman" w:eastAsia="仿宋_GB2312" w:cs="Times New Roman"/>
          <w:color w:val="000000"/>
          <w:sz w:val="32"/>
          <w:szCs w:val="32"/>
        </w:rPr>
        <w:t>的积极性，为决胜全面建成小康社会创造安全稳定的社会环境、建设善美云南营造了良好的氛围。</w:t>
      </w:r>
    </w:p>
    <w:p w14:paraId="1B9A42DA">
      <w:pPr>
        <w:ind w:firstLine="64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积极配合，加强保密宣传教育工作</w:t>
      </w:r>
    </w:p>
    <w:p w14:paraId="51F1C4CC">
      <w:pPr>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配合市科协加强单位保密宣传教育，制定保密制度，深入社区发放保密宣传资料100份，加强与社区合作，严防泄密事件发生，不断推进保密法治宣传教育工作的规范化、制度化建设，努力形成自觉维护国家安全和利益的良好氛围。</w:t>
      </w:r>
    </w:p>
    <w:p w14:paraId="50DA998A">
      <w:pPr>
        <w:ind w:firstLine="64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认真开展好党员志愿者服务活动</w:t>
      </w:r>
    </w:p>
    <w:p w14:paraId="138AC2CC">
      <w:pPr>
        <w:ind w:firstLine="640" w:firstLineChars="200"/>
        <w:rPr>
          <w:rFonts w:hint="eastAsia" w:ascii="宋体" w:hAnsi="宋体" w:eastAsia="宋体" w:cs="宋体"/>
          <w:kern w:val="0"/>
          <w:sz w:val="32"/>
          <w:szCs w:val="32"/>
        </w:rPr>
      </w:pPr>
      <w:r>
        <w:rPr>
          <w:rFonts w:hint="eastAsia" w:ascii="仿宋_GB2312" w:hAnsi="Times New Roman" w:eastAsia="仿宋_GB2312"/>
          <w:color w:val="000000"/>
          <w:sz w:val="32"/>
          <w:szCs w:val="32"/>
        </w:rPr>
        <w:t>按照创建全国文明城市工作要求，配合市科协机关党总支做好“在职党员进社区服务”活动，积极主动向大树营社区赠送科普图书。截至目前，共组织市科协党员干部职工开展扫黑除恶宣传、文明交通知识宣传、卫生清扫、清理小广告等志愿服务活动7期，参与人数50人次； 组织关爱滇池志愿服务活动4期，前往晋宁柴河开展巡查河道、拾捡垃圾等志愿服务活动，参与人数20余人次。配合机关党总支积极开展机关党组织和在职党员到社区“双报到双报告”，通过开展丰富的志愿服务活动，市科协志愿者引导更多群众做文明创建活动的参与者，共同爱护我们的城市，为我们的家园增光添彩，为加快建设区域性国际中心城市作出积极贡献。</w:t>
      </w:r>
    </w:p>
    <w:p w14:paraId="0D3F9E36">
      <w:pPr>
        <w:keepNext w:val="0"/>
        <w:keepLines w:val="0"/>
        <w:widowControl/>
        <w:suppressLineNumbers w:val="0"/>
        <w:autoSpaceDE w:val="0"/>
        <w:autoSpaceDN w:val="0"/>
        <w:spacing w:before="0" w:beforeAutospacing="0" w:after="0" w:afterAutospacing="0"/>
        <w:ind w:left="0" w:right="0" w:firstLine="600"/>
        <w:jc w:val="left"/>
        <w:rPr>
          <w:rFonts w:hint="eastAsia" w:ascii="宋体" w:hAnsi="宋体" w:eastAsia="宋体" w:cs="宋体"/>
          <w:kern w:val="0"/>
          <w:sz w:val="32"/>
          <w:szCs w:val="32"/>
        </w:rPr>
      </w:pPr>
      <w:r>
        <w:rPr>
          <w:rFonts w:hint="eastAsia" w:ascii="黑体" w:hAnsi="宋体" w:eastAsia="黑体" w:cs="黑体"/>
          <w:kern w:val="0"/>
          <w:sz w:val="32"/>
          <w:szCs w:val="32"/>
          <w:shd w:val="clear" w:fill="FFFFFF"/>
        </w:rPr>
        <w:t>二、部门基本情况</w:t>
      </w:r>
    </w:p>
    <w:p w14:paraId="23633782">
      <w:pPr>
        <w:keepNext w:val="0"/>
        <w:keepLines w:val="0"/>
        <w:widowControl/>
        <w:suppressLineNumbers w:val="0"/>
        <w:autoSpaceDE w:val="0"/>
        <w:autoSpaceDN w:val="0"/>
        <w:spacing w:before="0" w:beforeAutospacing="0" w:after="0" w:afterAutospacing="0"/>
        <w:ind w:left="0" w:right="0" w:firstLine="6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shd w:val="clear" w:fill="FFFFFF"/>
        </w:rPr>
        <w:t>（一）部门决算单位构成</w:t>
      </w:r>
    </w:p>
    <w:p w14:paraId="6DAF37C1">
      <w:pPr>
        <w:keepNext w:val="0"/>
        <w:keepLines w:val="0"/>
        <w:widowControl/>
        <w:suppressLineNumbers w:val="0"/>
        <w:autoSpaceDE w:val="0"/>
        <w:autoSpaceDN w:val="0"/>
        <w:spacing w:before="0" w:beforeAutospacing="0" w:after="0" w:afterAutospacing="0"/>
        <w:ind w:left="0" w:right="0" w:firstLine="600"/>
        <w:jc w:val="left"/>
        <w:rPr>
          <w:rFonts w:hint="eastAsia" w:ascii="宋体" w:hAnsi="宋体" w:eastAsia="宋体" w:cs="宋体"/>
          <w:color w:val="auto"/>
          <w:kern w:val="0"/>
          <w:sz w:val="32"/>
          <w:szCs w:val="32"/>
        </w:rPr>
      </w:pPr>
      <w:r>
        <w:rPr>
          <w:rFonts w:hint="eastAsia" w:ascii="仿宋_GB2312" w:hAnsi="仿宋_GB2312" w:eastAsia="仿宋_GB2312" w:cs="仿宋_GB2312"/>
          <w:color w:val="auto"/>
          <w:kern w:val="0"/>
          <w:sz w:val="32"/>
          <w:szCs w:val="32"/>
          <w:shd w:val="clear" w:fill="FFFFFF"/>
        </w:rPr>
        <w:t>纳入昆明科技进修学院部门2020年度部门决算编报的单位共1个。其中：行政单位</w:t>
      </w:r>
      <w:r>
        <w:rPr>
          <w:rFonts w:hint="eastAsia" w:ascii="仿宋_GB2312" w:hAnsi="仿宋_GB2312" w:eastAsia="仿宋_GB2312" w:cs="仿宋_GB2312"/>
          <w:color w:val="auto"/>
          <w:kern w:val="0"/>
          <w:sz w:val="32"/>
          <w:szCs w:val="32"/>
          <w:shd w:val="clear" w:fill="FFFFFF"/>
          <w:lang w:val="en-US" w:eastAsia="zh-CN"/>
        </w:rPr>
        <w:t>0</w:t>
      </w:r>
      <w:r>
        <w:rPr>
          <w:rFonts w:hint="eastAsia" w:ascii="仿宋_GB2312" w:hAnsi="仿宋_GB2312" w:eastAsia="仿宋_GB2312" w:cs="仿宋_GB2312"/>
          <w:color w:val="auto"/>
          <w:kern w:val="0"/>
          <w:sz w:val="32"/>
          <w:szCs w:val="32"/>
          <w:shd w:val="clear" w:fill="FFFFFF"/>
        </w:rPr>
        <w:t>个，参照公务员法管理的事业单位</w:t>
      </w:r>
      <w:r>
        <w:rPr>
          <w:rFonts w:hint="eastAsia" w:ascii="仿宋_GB2312" w:hAnsi="仿宋_GB2312" w:eastAsia="仿宋_GB2312" w:cs="仿宋_GB2312"/>
          <w:color w:val="auto"/>
          <w:kern w:val="0"/>
          <w:sz w:val="32"/>
          <w:szCs w:val="32"/>
          <w:shd w:val="clear" w:fill="FFFFFF"/>
          <w:lang w:val="en-US" w:eastAsia="zh-CN"/>
        </w:rPr>
        <w:t>0</w:t>
      </w:r>
      <w:r>
        <w:rPr>
          <w:rFonts w:hint="eastAsia" w:ascii="仿宋_GB2312" w:hAnsi="仿宋_GB2312" w:eastAsia="仿宋_GB2312" w:cs="仿宋_GB2312"/>
          <w:color w:val="auto"/>
          <w:kern w:val="0"/>
          <w:sz w:val="32"/>
          <w:szCs w:val="32"/>
          <w:shd w:val="clear" w:fill="FFFFFF"/>
        </w:rPr>
        <w:t>个，其他事业单位</w:t>
      </w:r>
      <w:r>
        <w:rPr>
          <w:rFonts w:hint="eastAsia" w:ascii="仿宋_GB2312" w:hAnsi="仿宋_GB2312" w:eastAsia="仿宋_GB2312" w:cs="仿宋_GB2312"/>
          <w:color w:val="auto"/>
          <w:kern w:val="0"/>
          <w:sz w:val="32"/>
          <w:szCs w:val="32"/>
          <w:shd w:val="clear" w:fill="FFFFFF"/>
          <w:lang w:val="en-US" w:eastAsia="zh-CN"/>
        </w:rPr>
        <w:t>1</w:t>
      </w:r>
      <w:r>
        <w:rPr>
          <w:rFonts w:hint="eastAsia" w:ascii="仿宋_GB2312" w:hAnsi="仿宋_GB2312" w:eastAsia="仿宋_GB2312" w:cs="仿宋_GB2312"/>
          <w:color w:val="auto"/>
          <w:kern w:val="0"/>
          <w:sz w:val="32"/>
          <w:szCs w:val="32"/>
          <w:shd w:val="clear" w:fill="FFFFFF"/>
        </w:rPr>
        <w:t>个。分别是：</w:t>
      </w:r>
      <w:r>
        <w:rPr>
          <w:rFonts w:hint="eastAsia" w:ascii="仿宋_GB2312" w:hAnsi="仿宋_GB2312" w:eastAsia="仿宋_GB2312" w:cs="仿宋_GB2312"/>
          <w:sz w:val="32"/>
          <w:szCs w:val="32"/>
          <w:lang w:eastAsia="zh-CN"/>
        </w:rPr>
        <w:t>昆明科技进修学院。</w:t>
      </w:r>
    </w:p>
    <w:p w14:paraId="6B271EB3">
      <w:pPr>
        <w:keepNext w:val="0"/>
        <w:keepLines w:val="0"/>
        <w:widowControl/>
        <w:suppressLineNumbers w:val="0"/>
        <w:autoSpaceDE w:val="0"/>
        <w:autoSpaceDN w:val="0"/>
        <w:spacing w:before="0" w:beforeAutospacing="0" w:after="0" w:afterAutospacing="0"/>
        <w:ind w:left="0" w:right="0" w:firstLine="6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shd w:val="clear" w:fill="FFFFFF"/>
        </w:rPr>
        <w:t>（二）部门人员和车辆的编制及实有情况</w:t>
      </w:r>
    </w:p>
    <w:p w14:paraId="37620CB5">
      <w:pPr>
        <w:keepNext w:val="0"/>
        <w:keepLines w:val="0"/>
        <w:widowControl/>
        <w:suppressLineNumbers w:val="0"/>
        <w:autoSpaceDE w:val="0"/>
        <w:autoSpaceDN w:val="0"/>
        <w:spacing w:before="0" w:beforeAutospacing="0" w:after="0" w:afterAutospacing="0"/>
        <w:ind w:left="0" w:right="0" w:firstLine="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fill="FFFFFF"/>
        </w:rPr>
        <w:t>昆明科技进修学院部门2020年末实有人员编制</w:t>
      </w:r>
      <w:r>
        <w:rPr>
          <w:rFonts w:hint="eastAsia" w:ascii="仿宋_GB2312" w:hAnsi="仿宋_GB2312" w:eastAsia="仿宋_GB2312" w:cs="仿宋_GB2312"/>
          <w:color w:val="auto"/>
          <w:kern w:val="0"/>
          <w:sz w:val="32"/>
          <w:szCs w:val="32"/>
          <w:shd w:val="clear" w:fill="FFFFFF"/>
          <w:lang w:val="en-US" w:eastAsia="zh-CN"/>
        </w:rPr>
        <w:t>10</w:t>
      </w:r>
      <w:r>
        <w:rPr>
          <w:rFonts w:hint="eastAsia" w:ascii="仿宋_GB2312" w:hAnsi="仿宋_GB2312" w:eastAsia="仿宋_GB2312" w:cs="仿宋_GB2312"/>
          <w:color w:val="auto"/>
          <w:kern w:val="0"/>
          <w:sz w:val="32"/>
          <w:szCs w:val="32"/>
          <w:shd w:val="clear" w:fill="FFFFFF"/>
        </w:rPr>
        <w:t>人。其中：行政编制</w:t>
      </w:r>
      <w:r>
        <w:rPr>
          <w:rFonts w:hint="eastAsia" w:ascii="仿宋_GB2312" w:hAnsi="仿宋_GB2312" w:eastAsia="仿宋_GB2312" w:cs="仿宋_GB2312"/>
          <w:color w:val="auto"/>
          <w:kern w:val="0"/>
          <w:sz w:val="32"/>
          <w:szCs w:val="32"/>
          <w:shd w:val="clear" w:fill="FFFFFF"/>
          <w:lang w:val="en-US" w:eastAsia="zh-CN"/>
        </w:rPr>
        <w:t>0</w:t>
      </w:r>
      <w:r>
        <w:rPr>
          <w:rFonts w:hint="eastAsia" w:ascii="仿宋_GB2312" w:hAnsi="仿宋_GB2312" w:eastAsia="仿宋_GB2312" w:cs="仿宋_GB2312"/>
          <w:color w:val="auto"/>
          <w:kern w:val="0"/>
          <w:sz w:val="32"/>
          <w:szCs w:val="32"/>
          <w:shd w:val="clear" w:fill="FFFFFF"/>
        </w:rPr>
        <w:t>人（含行政工勤编制</w:t>
      </w:r>
      <w:r>
        <w:rPr>
          <w:rFonts w:hint="eastAsia" w:ascii="仿宋_GB2312" w:hAnsi="仿宋_GB2312" w:eastAsia="仿宋_GB2312" w:cs="仿宋_GB2312"/>
          <w:color w:val="auto"/>
          <w:kern w:val="0"/>
          <w:sz w:val="32"/>
          <w:szCs w:val="32"/>
          <w:shd w:val="clear" w:fill="FFFFFF"/>
          <w:lang w:val="en-US" w:eastAsia="zh-CN"/>
        </w:rPr>
        <w:t>0</w:t>
      </w:r>
      <w:r>
        <w:rPr>
          <w:rFonts w:hint="eastAsia" w:ascii="仿宋_GB2312" w:hAnsi="仿宋_GB2312" w:eastAsia="仿宋_GB2312" w:cs="仿宋_GB2312"/>
          <w:color w:val="auto"/>
          <w:kern w:val="0"/>
          <w:sz w:val="32"/>
          <w:szCs w:val="32"/>
          <w:shd w:val="clear" w:fill="FFFFFF"/>
        </w:rPr>
        <w:t>人），事业编制</w:t>
      </w:r>
      <w:r>
        <w:rPr>
          <w:rFonts w:hint="eastAsia" w:ascii="仿宋_GB2312" w:hAnsi="仿宋_GB2312" w:eastAsia="仿宋_GB2312" w:cs="仿宋_GB2312"/>
          <w:color w:val="auto"/>
          <w:kern w:val="0"/>
          <w:sz w:val="32"/>
          <w:szCs w:val="32"/>
          <w:shd w:val="clear" w:fill="FFFFFF"/>
          <w:lang w:val="en-US" w:eastAsia="zh-CN"/>
        </w:rPr>
        <w:t>10</w:t>
      </w:r>
      <w:r>
        <w:rPr>
          <w:rFonts w:hint="eastAsia" w:ascii="仿宋_GB2312" w:hAnsi="仿宋_GB2312" w:eastAsia="仿宋_GB2312" w:cs="仿宋_GB2312"/>
          <w:color w:val="auto"/>
          <w:kern w:val="0"/>
          <w:sz w:val="32"/>
          <w:szCs w:val="32"/>
          <w:shd w:val="clear" w:fill="FFFFFF"/>
        </w:rPr>
        <w:t>人（含参公管理事业编制</w:t>
      </w:r>
      <w:r>
        <w:rPr>
          <w:rFonts w:hint="eastAsia" w:ascii="仿宋_GB2312" w:hAnsi="仿宋_GB2312" w:eastAsia="仿宋_GB2312" w:cs="仿宋_GB2312"/>
          <w:color w:val="auto"/>
          <w:kern w:val="0"/>
          <w:sz w:val="32"/>
          <w:szCs w:val="32"/>
          <w:shd w:val="clear" w:fill="FFFFFF"/>
          <w:lang w:val="en-US" w:eastAsia="zh-CN"/>
        </w:rPr>
        <w:t>0</w:t>
      </w:r>
      <w:r>
        <w:rPr>
          <w:rFonts w:hint="eastAsia" w:ascii="仿宋_GB2312" w:hAnsi="仿宋_GB2312" w:eastAsia="仿宋_GB2312" w:cs="仿宋_GB2312"/>
          <w:color w:val="auto"/>
          <w:kern w:val="0"/>
          <w:sz w:val="32"/>
          <w:szCs w:val="32"/>
          <w:shd w:val="clear" w:fill="FFFFFF"/>
        </w:rPr>
        <w:t>人）；在职在编实有行政人员</w:t>
      </w:r>
      <w:r>
        <w:rPr>
          <w:rFonts w:hint="eastAsia" w:ascii="仿宋_GB2312" w:hAnsi="仿宋_GB2312" w:eastAsia="仿宋_GB2312" w:cs="仿宋_GB2312"/>
          <w:color w:val="auto"/>
          <w:kern w:val="0"/>
          <w:sz w:val="32"/>
          <w:szCs w:val="32"/>
          <w:shd w:val="clear" w:fill="FFFFFF"/>
          <w:lang w:val="en-US" w:eastAsia="zh-CN"/>
        </w:rPr>
        <w:t>0</w:t>
      </w:r>
      <w:r>
        <w:rPr>
          <w:rFonts w:hint="eastAsia" w:ascii="仿宋_GB2312" w:hAnsi="仿宋_GB2312" w:eastAsia="仿宋_GB2312" w:cs="仿宋_GB2312"/>
          <w:color w:val="auto"/>
          <w:kern w:val="0"/>
          <w:sz w:val="32"/>
          <w:szCs w:val="32"/>
          <w:shd w:val="clear" w:fill="FFFFFF"/>
        </w:rPr>
        <w:t>人（含行政工勤人员</w:t>
      </w:r>
      <w:r>
        <w:rPr>
          <w:rFonts w:hint="eastAsia" w:ascii="仿宋_GB2312" w:hAnsi="仿宋_GB2312" w:eastAsia="仿宋_GB2312" w:cs="仿宋_GB2312"/>
          <w:color w:val="auto"/>
          <w:kern w:val="0"/>
          <w:sz w:val="32"/>
          <w:szCs w:val="32"/>
          <w:shd w:val="clear" w:fill="FFFFFF"/>
          <w:lang w:val="en-US" w:eastAsia="zh-CN"/>
        </w:rPr>
        <w:t>0</w:t>
      </w:r>
      <w:r>
        <w:rPr>
          <w:rFonts w:hint="eastAsia" w:ascii="仿宋_GB2312" w:hAnsi="仿宋_GB2312" w:eastAsia="仿宋_GB2312" w:cs="仿宋_GB2312"/>
          <w:color w:val="auto"/>
          <w:kern w:val="0"/>
          <w:sz w:val="32"/>
          <w:szCs w:val="32"/>
          <w:shd w:val="clear" w:fill="FFFFFF"/>
        </w:rPr>
        <w:t>人），事业人员8人（含参公管理事业人员0人）。</w:t>
      </w:r>
    </w:p>
    <w:p w14:paraId="4A7A4C42">
      <w:pPr>
        <w:keepNext w:val="0"/>
        <w:keepLines w:val="0"/>
        <w:widowControl/>
        <w:suppressLineNumbers w:val="0"/>
        <w:autoSpaceDE w:val="0"/>
        <w:autoSpaceDN w:val="0"/>
        <w:spacing w:before="0" w:beforeAutospacing="0" w:after="0" w:afterAutospacing="0"/>
        <w:ind w:left="0" w:right="0" w:firstLine="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fill="FFFFFF"/>
        </w:rPr>
        <w:t>离退休人员</w:t>
      </w:r>
      <w:r>
        <w:rPr>
          <w:rFonts w:hint="eastAsia" w:ascii="仿宋_GB2312" w:hAnsi="仿宋_GB2312" w:eastAsia="仿宋_GB2312" w:cs="仿宋_GB2312"/>
          <w:color w:val="auto"/>
          <w:kern w:val="0"/>
          <w:sz w:val="32"/>
          <w:szCs w:val="32"/>
          <w:shd w:val="clear" w:fill="FFFFFF"/>
          <w:lang w:val="en-US" w:eastAsia="zh-CN"/>
        </w:rPr>
        <w:t>3</w:t>
      </w:r>
      <w:r>
        <w:rPr>
          <w:rFonts w:hint="eastAsia" w:ascii="仿宋_GB2312" w:hAnsi="仿宋_GB2312" w:eastAsia="仿宋_GB2312" w:cs="仿宋_GB2312"/>
          <w:color w:val="auto"/>
          <w:kern w:val="0"/>
          <w:sz w:val="32"/>
          <w:szCs w:val="32"/>
          <w:shd w:val="clear" w:fill="FFFFFF"/>
        </w:rPr>
        <w:t>人。其中：离休0人，退休</w:t>
      </w:r>
      <w:r>
        <w:rPr>
          <w:rFonts w:hint="eastAsia" w:ascii="仿宋_GB2312" w:hAnsi="仿宋_GB2312" w:eastAsia="仿宋_GB2312" w:cs="仿宋_GB2312"/>
          <w:color w:val="auto"/>
          <w:kern w:val="0"/>
          <w:sz w:val="32"/>
          <w:szCs w:val="32"/>
          <w:shd w:val="clear" w:fill="FFFFFF"/>
          <w:lang w:val="en-US" w:eastAsia="zh-CN"/>
        </w:rPr>
        <w:t>3</w:t>
      </w:r>
      <w:r>
        <w:rPr>
          <w:rFonts w:hint="eastAsia" w:ascii="仿宋_GB2312" w:hAnsi="仿宋_GB2312" w:eastAsia="仿宋_GB2312" w:cs="仿宋_GB2312"/>
          <w:color w:val="auto"/>
          <w:kern w:val="0"/>
          <w:sz w:val="32"/>
          <w:szCs w:val="32"/>
          <w:shd w:val="clear" w:fill="FFFFFF"/>
        </w:rPr>
        <w:t>人。</w:t>
      </w:r>
    </w:p>
    <w:p w14:paraId="662A2ED5">
      <w:pPr>
        <w:keepNext w:val="0"/>
        <w:keepLines w:val="0"/>
        <w:widowControl/>
        <w:suppressLineNumbers w:val="0"/>
        <w:autoSpaceDE w:val="0"/>
        <w:autoSpaceDN w:val="0"/>
        <w:spacing w:before="0" w:beforeAutospacing="0" w:after="0" w:afterAutospacing="0"/>
        <w:ind w:left="0" w:right="0" w:firstLine="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fill="FFFFFF"/>
        </w:rPr>
        <w:t>实有车辆编制</w:t>
      </w:r>
      <w:r>
        <w:rPr>
          <w:rFonts w:hint="eastAsia" w:ascii="仿宋_GB2312" w:hAnsi="仿宋_GB2312" w:eastAsia="仿宋_GB2312" w:cs="仿宋_GB2312"/>
          <w:color w:val="auto"/>
          <w:kern w:val="0"/>
          <w:sz w:val="32"/>
          <w:szCs w:val="32"/>
          <w:shd w:val="clear" w:fill="FFFFFF"/>
          <w:lang w:val="en-US" w:eastAsia="zh-CN"/>
        </w:rPr>
        <w:t>0</w:t>
      </w:r>
      <w:r>
        <w:rPr>
          <w:rFonts w:hint="eastAsia" w:ascii="仿宋_GB2312" w:hAnsi="仿宋_GB2312" w:eastAsia="仿宋_GB2312" w:cs="仿宋_GB2312"/>
          <w:color w:val="auto"/>
          <w:kern w:val="0"/>
          <w:sz w:val="32"/>
          <w:szCs w:val="32"/>
          <w:shd w:val="clear" w:fill="FFFFFF"/>
        </w:rPr>
        <w:t>辆，在编实有车辆0辆。</w:t>
      </w:r>
    </w:p>
    <w:p w14:paraId="08126FAA">
      <w:pPr>
        <w:keepNext w:val="0"/>
        <w:keepLines w:val="0"/>
        <w:widowControl/>
        <w:suppressLineNumbers w:val="0"/>
        <w:autoSpaceDE w:val="0"/>
        <w:autoSpaceDN w:val="0"/>
        <w:spacing w:before="0" w:beforeAutospacing="0" w:after="0" w:afterAutospacing="0"/>
        <w:ind w:left="0" w:right="0"/>
        <w:jc w:val="center"/>
        <w:rPr>
          <w:rFonts w:hint="eastAsia" w:ascii="黑体" w:hAnsi="宋体" w:eastAsia="黑体" w:cs="黑体"/>
          <w:kern w:val="0"/>
          <w:sz w:val="32"/>
          <w:szCs w:val="32"/>
          <w:shd w:val="clear" w:fill="FFFFFF"/>
        </w:rPr>
      </w:pPr>
    </w:p>
    <w:p w14:paraId="0E6A0707">
      <w:pPr>
        <w:keepNext w:val="0"/>
        <w:keepLines w:val="0"/>
        <w:widowControl/>
        <w:suppressLineNumbers w:val="0"/>
        <w:autoSpaceDE w:val="0"/>
        <w:autoSpaceDN w:val="0"/>
        <w:spacing w:before="0" w:beforeAutospacing="0" w:after="0" w:afterAutospacing="0"/>
        <w:ind w:left="0" w:right="0"/>
        <w:jc w:val="center"/>
        <w:rPr>
          <w:rFonts w:hint="eastAsia" w:ascii="宋体" w:hAnsi="宋体" w:eastAsia="宋体" w:cs="宋体"/>
          <w:kern w:val="0"/>
          <w:sz w:val="32"/>
          <w:szCs w:val="32"/>
        </w:rPr>
      </w:pPr>
      <w:r>
        <w:rPr>
          <w:rFonts w:hint="eastAsia" w:ascii="黑体" w:hAnsi="宋体" w:eastAsia="黑体" w:cs="黑体"/>
          <w:kern w:val="0"/>
          <w:sz w:val="32"/>
          <w:szCs w:val="32"/>
          <w:shd w:val="clear" w:fill="FFFFFF"/>
        </w:rPr>
        <w:t>第二部分  2020年度部门决算表</w:t>
      </w:r>
    </w:p>
    <w:p w14:paraId="118EDB48">
      <w:pPr>
        <w:keepNext w:val="0"/>
        <w:keepLines w:val="0"/>
        <w:widowControl/>
        <w:suppressLineNumbers w:val="0"/>
        <w:autoSpaceDE w:val="0"/>
        <w:autoSpaceDN w:val="0"/>
        <w:spacing w:before="0" w:beforeAutospacing="0" w:after="0" w:afterAutospacing="0"/>
        <w:ind w:left="0" w:right="0" w:firstLine="600"/>
        <w:jc w:val="center"/>
        <w:rPr>
          <w:rFonts w:hint="eastAsia" w:ascii="宋体" w:hAnsi="宋体" w:eastAsia="宋体" w:cs="宋体"/>
          <w:color w:val="auto"/>
          <w:kern w:val="0"/>
          <w:sz w:val="32"/>
          <w:szCs w:val="32"/>
        </w:rPr>
      </w:pPr>
      <w:r>
        <w:rPr>
          <w:rFonts w:hint="eastAsia" w:ascii="仿宋" w:hAnsi="仿宋" w:eastAsia="仿宋" w:cs="仿宋"/>
          <w:color w:val="auto"/>
          <w:kern w:val="0"/>
          <w:sz w:val="32"/>
          <w:szCs w:val="32"/>
          <w:shd w:val="clear" w:fill="FFFFFF"/>
        </w:rPr>
        <w:t>（详见附件）</w:t>
      </w:r>
    </w:p>
    <w:p w14:paraId="723118CF">
      <w:pPr>
        <w:keepNext w:val="0"/>
        <w:keepLines w:val="0"/>
        <w:widowControl/>
        <w:suppressLineNumbers w:val="0"/>
        <w:autoSpaceDE w:val="0"/>
        <w:autoSpaceDN w:val="0"/>
        <w:spacing w:before="0" w:beforeAutospacing="0" w:after="0" w:afterAutospacing="0"/>
        <w:ind w:left="0" w:right="0" w:firstLine="600"/>
        <w:jc w:val="center"/>
        <w:rPr>
          <w:rFonts w:hint="eastAsia" w:ascii="宋体" w:hAnsi="宋体" w:eastAsia="宋体" w:cs="宋体"/>
          <w:kern w:val="0"/>
          <w:sz w:val="32"/>
          <w:szCs w:val="32"/>
        </w:rPr>
      </w:pPr>
      <w:r>
        <w:rPr>
          <w:rFonts w:hint="eastAsia" w:ascii="宋体" w:hAnsi="宋体" w:eastAsia="宋体" w:cs="宋体"/>
          <w:kern w:val="0"/>
          <w:sz w:val="32"/>
          <w:szCs w:val="32"/>
          <w:shd w:val="clear" w:fill="FFFFFF"/>
        </w:rPr>
        <w:t xml:space="preserve"> </w:t>
      </w:r>
    </w:p>
    <w:p w14:paraId="0C4D9905">
      <w:pPr>
        <w:keepNext w:val="0"/>
        <w:keepLines w:val="0"/>
        <w:widowControl/>
        <w:suppressLineNumbers w:val="0"/>
        <w:autoSpaceDE w:val="0"/>
        <w:autoSpaceDN w:val="0"/>
        <w:spacing w:before="0" w:beforeAutospacing="0" w:after="0" w:afterAutospacing="0"/>
        <w:ind w:left="0" w:right="0"/>
        <w:jc w:val="center"/>
        <w:rPr>
          <w:rFonts w:hint="eastAsia" w:ascii="宋体" w:hAnsi="宋体" w:eastAsia="宋体" w:cs="宋体"/>
          <w:kern w:val="0"/>
          <w:sz w:val="32"/>
          <w:szCs w:val="32"/>
        </w:rPr>
      </w:pPr>
      <w:r>
        <w:rPr>
          <w:rFonts w:hint="eastAsia" w:ascii="黑体" w:hAnsi="宋体" w:eastAsia="黑体" w:cs="黑体"/>
          <w:kern w:val="0"/>
          <w:sz w:val="32"/>
          <w:szCs w:val="32"/>
          <w:shd w:val="clear" w:fill="FFFFFF"/>
        </w:rPr>
        <w:t>第三部分  2020年度部门决算情况说明</w:t>
      </w:r>
    </w:p>
    <w:p w14:paraId="6DB849BD">
      <w:pPr>
        <w:keepNext w:val="0"/>
        <w:keepLines w:val="0"/>
        <w:widowControl/>
        <w:suppressLineNumbers w:val="0"/>
        <w:autoSpaceDE w:val="0"/>
        <w:autoSpaceDN w:val="0"/>
        <w:spacing w:before="0" w:beforeAutospacing="0" w:after="0" w:afterAutospacing="0"/>
        <w:ind w:left="0" w:right="0" w:firstLine="600"/>
        <w:jc w:val="left"/>
        <w:rPr>
          <w:rFonts w:hint="eastAsia" w:ascii="宋体" w:hAnsi="宋体" w:eastAsia="宋体" w:cs="宋体"/>
          <w:kern w:val="0"/>
          <w:sz w:val="32"/>
          <w:szCs w:val="32"/>
        </w:rPr>
      </w:pPr>
      <w:r>
        <w:rPr>
          <w:rFonts w:hint="eastAsia" w:ascii="黑体" w:hAnsi="宋体" w:eastAsia="黑体" w:cs="黑体"/>
          <w:kern w:val="0"/>
          <w:sz w:val="32"/>
          <w:szCs w:val="32"/>
          <w:shd w:val="clear" w:fill="FFFFFF"/>
        </w:rPr>
        <w:t>一、收入决算情况说明</w:t>
      </w:r>
    </w:p>
    <w:p w14:paraId="39FDD617">
      <w:pPr>
        <w:keepNext w:val="0"/>
        <w:keepLines w:val="0"/>
        <w:widowControl/>
        <w:suppressLineNumbers w:val="0"/>
        <w:autoSpaceDE w:val="0"/>
        <w:autoSpaceDN w:val="0"/>
        <w:spacing w:before="0" w:beforeAutospacing="0" w:after="0" w:afterAutospacing="0"/>
        <w:ind w:left="0" w:right="0" w:firstLine="600"/>
        <w:jc w:val="left"/>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昆明科技进修学院部门2020年度收入合计158.46万元。其中：财政拨款收入158.46万元，占总收入的100.00%；上级补助收入0.00万元，占总收入的0.00%；事业收入0.00万元，占总收入的0.00%；经营收入0.00万元，占总收入的0.00%；附属单位缴款收入0.00万元，占总收入的0.00%；其他收入0.00万元，占总收入的0.00%。</w:t>
      </w:r>
    </w:p>
    <w:p w14:paraId="1EA9A345">
      <w:pPr>
        <w:snapToGrid/>
        <w:spacing w:line="500" w:lineRule="atLeast"/>
        <w:ind w:firstLine="640" w:firstLineChars="200"/>
        <w:rPr>
          <w:rFonts w:hint="default" w:ascii="仿宋_GB2312" w:hAnsi="Times New Roman" w:eastAsia="仿宋_GB2312"/>
          <w:color w:val="000000"/>
          <w:sz w:val="32"/>
          <w:szCs w:val="32"/>
          <w:lang w:val="en-US"/>
        </w:rPr>
      </w:pPr>
      <w:r>
        <w:rPr>
          <w:rFonts w:hint="eastAsia" w:ascii="仿宋_GB2312" w:hAnsi="Times New Roman" w:eastAsia="仿宋_GB2312" w:cs="Times New Roman"/>
          <w:color w:val="000000"/>
          <w:sz w:val="32"/>
          <w:szCs w:val="32"/>
        </w:rPr>
        <w:t>比上年收入</w:t>
      </w:r>
      <w:r>
        <w:rPr>
          <w:rFonts w:hint="eastAsia" w:ascii="仿宋_GB2312" w:hAnsi="仿宋" w:eastAsia="仿宋_GB2312"/>
          <w:sz w:val="32"/>
          <w:szCs w:val="32"/>
        </w:rPr>
        <w:t>139.70</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lang w:eastAsia="zh-CN"/>
        </w:rPr>
        <w:t>增加</w:t>
      </w:r>
      <w:r>
        <w:rPr>
          <w:rFonts w:hint="eastAsia" w:ascii="仿宋_GB2312" w:hAnsi="Times New Roman" w:eastAsia="仿宋_GB2312" w:cs="Times New Roman"/>
          <w:color w:val="000000"/>
          <w:sz w:val="32"/>
          <w:szCs w:val="32"/>
          <w:lang w:val="en-US" w:eastAsia="zh-CN"/>
        </w:rPr>
        <w:t>13.43%</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eastAsia="zh-CN"/>
        </w:rPr>
        <w:t>主要原因为：</w:t>
      </w:r>
      <w:r>
        <w:rPr>
          <w:rFonts w:hint="eastAsia" w:ascii="仿宋_GB2312" w:hAnsi="仿宋_GB2312" w:eastAsia="仿宋_GB2312" w:cs="仿宋_GB2312"/>
          <w:sz w:val="32"/>
          <w:szCs w:val="32"/>
          <w:lang w:val="en-US" w:eastAsia="zh-CN"/>
        </w:rPr>
        <w:t>1</w:t>
      </w:r>
      <w:r>
        <w:rPr>
          <w:rFonts w:hint="eastAsia" w:ascii="仿宋_GB2312" w:eastAsia="仿宋_GB2312"/>
          <w:sz w:val="32"/>
          <w:szCs w:val="32"/>
          <w:lang w:val="en-US" w:eastAsia="zh-CN"/>
        </w:rPr>
        <w:t>.人员经费定额标准调整。2.省级转移支付项目转拨实施。</w:t>
      </w:r>
    </w:p>
    <w:tbl>
      <w:tblPr>
        <w:tblStyle w:val="3"/>
        <w:tblpPr w:leftFromText="180" w:rightFromText="180" w:vertAnchor="text" w:horzAnchor="page" w:tblpXSpec="center" w:tblpY="192"/>
        <w:tblOverlap w:val="never"/>
        <w:tblW w:w="10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72"/>
        <w:gridCol w:w="840"/>
        <w:gridCol w:w="780"/>
        <w:gridCol w:w="1305"/>
        <w:gridCol w:w="1305"/>
        <w:gridCol w:w="1110"/>
        <w:gridCol w:w="780"/>
        <w:gridCol w:w="960"/>
        <w:gridCol w:w="1260"/>
        <w:gridCol w:w="842"/>
      </w:tblGrid>
      <w:tr w14:paraId="1E03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0354" w:type="dxa"/>
            <w:gridSpan w:val="10"/>
            <w:tcBorders>
              <w:top w:val="single" w:color="000000" w:sz="18" w:space="0"/>
              <w:left w:val="single" w:color="000000" w:sz="18" w:space="0"/>
              <w:bottom w:val="single" w:color="000000" w:sz="18" w:space="0"/>
              <w:right w:val="single" w:color="000000" w:sz="18" w:space="0"/>
            </w:tcBorders>
            <w:noWrap w:val="0"/>
            <w:vAlign w:val="center"/>
          </w:tcPr>
          <w:p w14:paraId="5225DEE8">
            <w:pPr>
              <w:keepNext w:val="0"/>
              <w:keepLines w:val="0"/>
              <w:widowControl/>
              <w:suppressLineNumbers w:val="0"/>
              <w:jc w:val="center"/>
              <w:textAlignment w:val="center"/>
              <w:rPr>
                <w:rFonts w:hint="eastAsia" w:ascii="仿宋_GB2312" w:hAnsi="宋体" w:eastAsia="仿宋_GB2312" w:cs="仿宋_GB2312"/>
                <w:b/>
                <w:i w:val="0"/>
                <w:color w:val="000000"/>
                <w:kern w:val="0"/>
                <w:sz w:val="32"/>
                <w:szCs w:val="32"/>
                <w:u w:val="none"/>
                <w:lang w:val="en-US" w:eastAsia="zh-CN" w:bidi="ar"/>
              </w:rPr>
            </w:pPr>
            <w:r>
              <w:rPr>
                <w:rFonts w:hint="eastAsia" w:ascii="仿宋_GB2312" w:hAnsi="宋体" w:eastAsia="仿宋_GB2312" w:cs="仿宋_GB2312"/>
                <w:b/>
                <w:i w:val="0"/>
                <w:color w:val="000000"/>
                <w:kern w:val="0"/>
                <w:sz w:val="32"/>
                <w:szCs w:val="32"/>
                <w:u w:val="none"/>
                <w:lang w:val="en-US" w:eastAsia="zh-CN" w:bidi="ar"/>
              </w:rPr>
              <w:t>收入与上年度对比分析表（万元）</w:t>
            </w:r>
          </w:p>
        </w:tc>
      </w:tr>
      <w:tr w14:paraId="64C6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1172" w:type="dxa"/>
            <w:tcBorders>
              <w:left w:val="single" w:color="000000" w:sz="18" w:space="0"/>
              <w:bottom w:val="single" w:color="000000" w:sz="18" w:space="0"/>
              <w:right w:val="single" w:color="000000" w:sz="18" w:space="0"/>
            </w:tcBorders>
            <w:noWrap w:val="0"/>
            <w:vAlign w:val="center"/>
          </w:tcPr>
          <w:p w14:paraId="17171823">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年份</w:t>
            </w:r>
          </w:p>
        </w:tc>
        <w:tc>
          <w:tcPr>
            <w:tcW w:w="840" w:type="dxa"/>
            <w:tcBorders>
              <w:bottom w:val="single" w:color="000000" w:sz="18" w:space="0"/>
              <w:right w:val="single" w:color="000000" w:sz="18" w:space="0"/>
            </w:tcBorders>
            <w:noWrap w:val="0"/>
            <w:vAlign w:val="center"/>
          </w:tcPr>
          <w:p w14:paraId="54BA232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机构运行</w:t>
            </w:r>
          </w:p>
        </w:tc>
        <w:tc>
          <w:tcPr>
            <w:tcW w:w="780" w:type="dxa"/>
            <w:tcBorders>
              <w:bottom w:val="single" w:color="000000" w:sz="18" w:space="0"/>
              <w:right w:val="single" w:color="000000" w:sz="18" w:space="0"/>
            </w:tcBorders>
            <w:noWrap w:val="0"/>
            <w:vAlign w:val="center"/>
          </w:tcPr>
          <w:p w14:paraId="5007ECB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科普活动</w:t>
            </w:r>
          </w:p>
        </w:tc>
        <w:tc>
          <w:tcPr>
            <w:tcW w:w="1305" w:type="dxa"/>
            <w:tcBorders>
              <w:bottom w:val="single" w:color="000000" w:sz="18" w:space="0"/>
              <w:right w:val="single" w:color="000000" w:sz="18" w:space="0"/>
            </w:tcBorders>
            <w:noWrap w:val="0"/>
            <w:vAlign w:val="center"/>
          </w:tcPr>
          <w:p w14:paraId="3771606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机关事业单位基本养老保险缴费支出</w:t>
            </w:r>
          </w:p>
        </w:tc>
        <w:tc>
          <w:tcPr>
            <w:tcW w:w="1305" w:type="dxa"/>
            <w:tcBorders>
              <w:bottom w:val="single" w:color="000000" w:sz="18" w:space="0"/>
              <w:right w:val="single" w:color="000000" w:sz="18" w:space="0"/>
            </w:tcBorders>
            <w:noWrap w:val="0"/>
            <w:vAlign w:val="center"/>
          </w:tcPr>
          <w:p w14:paraId="56651EB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color w:val="000000"/>
                <w:kern w:val="0"/>
                <w:sz w:val="21"/>
                <w:szCs w:val="21"/>
                <w:u w:val="none"/>
                <w:lang w:bidi="ar"/>
              </w:rPr>
              <w:t>机关事业单位职业年金缴费支出</w:t>
            </w:r>
          </w:p>
        </w:tc>
        <w:tc>
          <w:tcPr>
            <w:tcW w:w="1110" w:type="dxa"/>
            <w:tcBorders>
              <w:bottom w:val="single" w:color="000000" w:sz="18" w:space="0"/>
              <w:right w:val="single" w:color="000000" w:sz="18" w:space="0"/>
            </w:tcBorders>
            <w:noWrap w:val="0"/>
            <w:vAlign w:val="center"/>
          </w:tcPr>
          <w:p w14:paraId="589DBB0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其他社会保障和就业支出</w:t>
            </w:r>
          </w:p>
        </w:tc>
        <w:tc>
          <w:tcPr>
            <w:tcW w:w="780" w:type="dxa"/>
            <w:tcBorders>
              <w:bottom w:val="single" w:color="000000" w:sz="18" w:space="0"/>
              <w:right w:val="single" w:color="000000" w:sz="18" w:space="0"/>
            </w:tcBorders>
            <w:noWrap w:val="0"/>
            <w:vAlign w:val="center"/>
          </w:tcPr>
          <w:p w14:paraId="4DE91DA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事业单位医疗</w:t>
            </w:r>
          </w:p>
        </w:tc>
        <w:tc>
          <w:tcPr>
            <w:tcW w:w="960" w:type="dxa"/>
            <w:tcBorders>
              <w:bottom w:val="single" w:color="000000" w:sz="18" w:space="0"/>
              <w:right w:val="single" w:color="000000" w:sz="18" w:space="0"/>
            </w:tcBorders>
            <w:noWrap w:val="0"/>
            <w:vAlign w:val="center"/>
          </w:tcPr>
          <w:p w14:paraId="4727BC7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公务员医疗补助</w:t>
            </w:r>
          </w:p>
        </w:tc>
        <w:tc>
          <w:tcPr>
            <w:tcW w:w="1260" w:type="dxa"/>
            <w:tcBorders>
              <w:bottom w:val="single" w:color="000000" w:sz="18" w:space="0"/>
              <w:right w:val="single" w:color="000000" w:sz="18" w:space="0"/>
            </w:tcBorders>
            <w:noWrap w:val="0"/>
            <w:vAlign w:val="center"/>
          </w:tcPr>
          <w:p w14:paraId="4141B71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其他行政事业单位医疗支出</w:t>
            </w:r>
          </w:p>
        </w:tc>
        <w:tc>
          <w:tcPr>
            <w:tcW w:w="842" w:type="dxa"/>
            <w:tcBorders>
              <w:bottom w:val="single" w:color="000000" w:sz="18" w:space="0"/>
              <w:right w:val="single" w:color="000000" w:sz="18" w:space="0"/>
            </w:tcBorders>
            <w:noWrap w:val="0"/>
            <w:vAlign w:val="center"/>
          </w:tcPr>
          <w:p w14:paraId="40C161E8">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住房公积金</w:t>
            </w:r>
          </w:p>
        </w:tc>
      </w:tr>
      <w:tr w14:paraId="26F0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72" w:type="dxa"/>
            <w:tcBorders>
              <w:left w:val="single" w:color="000000" w:sz="18" w:space="0"/>
              <w:bottom w:val="single" w:color="000000" w:sz="18" w:space="0"/>
              <w:right w:val="single" w:color="000000" w:sz="18" w:space="0"/>
            </w:tcBorders>
            <w:noWrap w:val="0"/>
            <w:vAlign w:val="center"/>
          </w:tcPr>
          <w:p w14:paraId="4200FDC8">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2019</w:t>
            </w:r>
          </w:p>
        </w:tc>
        <w:tc>
          <w:tcPr>
            <w:tcW w:w="840" w:type="dxa"/>
            <w:tcBorders>
              <w:bottom w:val="single" w:color="000000" w:sz="18" w:space="0"/>
              <w:right w:val="single" w:color="000000" w:sz="18" w:space="0"/>
            </w:tcBorders>
            <w:noWrap w:val="0"/>
            <w:vAlign w:val="center"/>
          </w:tcPr>
          <w:p w14:paraId="234E84F0">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100.45</w:t>
            </w:r>
          </w:p>
        </w:tc>
        <w:tc>
          <w:tcPr>
            <w:tcW w:w="780" w:type="dxa"/>
            <w:tcBorders>
              <w:bottom w:val="single" w:color="000000" w:sz="18" w:space="0"/>
              <w:right w:val="single" w:color="000000" w:sz="18" w:space="0"/>
            </w:tcBorders>
            <w:noWrap w:val="0"/>
            <w:vAlign w:val="center"/>
          </w:tcPr>
          <w:p w14:paraId="3DFD0E6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w:t>
            </w:r>
          </w:p>
        </w:tc>
        <w:tc>
          <w:tcPr>
            <w:tcW w:w="1305" w:type="dxa"/>
            <w:tcBorders>
              <w:bottom w:val="single" w:color="000000" w:sz="18" w:space="0"/>
              <w:right w:val="single" w:color="000000" w:sz="18" w:space="0"/>
            </w:tcBorders>
            <w:noWrap w:val="0"/>
            <w:vAlign w:val="center"/>
          </w:tcPr>
          <w:p w14:paraId="74EE0C6D">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12.47</w:t>
            </w:r>
          </w:p>
        </w:tc>
        <w:tc>
          <w:tcPr>
            <w:tcW w:w="1305" w:type="dxa"/>
            <w:tcBorders>
              <w:bottom w:val="single" w:color="000000" w:sz="18" w:space="0"/>
              <w:right w:val="single" w:color="000000" w:sz="18" w:space="0"/>
            </w:tcBorders>
            <w:noWrap w:val="0"/>
            <w:vAlign w:val="center"/>
          </w:tcPr>
          <w:p w14:paraId="03E6ED4F">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5.86</w:t>
            </w:r>
          </w:p>
        </w:tc>
        <w:tc>
          <w:tcPr>
            <w:tcW w:w="1110" w:type="dxa"/>
            <w:tcBorders>
              <w:bottom w:val="single" w:color="000000" w:sz="18" w:space="0"/>
              <w:right w:val="single" w:color="000000" w:sz="18" w:space="0"/>
            </w:tcBorders>
            <w:noWrap w:val="0"/>
            <w:vAlign w:val="center"/>
          </w:tcPr>
          <w:p w14:paraId="2F90122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0.30</w:t>
            </w:r>
          </w:p>
        </w:tc>
        <w:tc>
          <w:tcPr>
            <w:tcW w:w="780" w:type="dxa"/>
            <w:tcBorders>
              <w:bottom w:val="single" w:color="000000" w:sz="18" w:space="0"/>
              <w:right w:val="single" w:color="000000" w:sz="18" w:space="0"/>
            </w:tcBorders>
            <w:noWrap w:val="0"/>
            <w:vAlign w:val="center"/>
          </w:tcPr>
          <w:p w14:paraId="650B6888">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6.75</w:t>
            </w:r>
          </w:p>
        </w:tc>
        <w:tc>
          <w:tcPr>
            <w:tcW w:w="960" w:type="dxa"/>
            <w:tcBorders>
              <w:bottom w:val="single" w:color="000000" w:sz="18" w:space="0"/>
              <w:right w:val="single" w:color="000000" w:sz="18" w:space="0"/>
            </w:tcBorders>
            <w:noWrap w:val="0"/>
            <w:vAlign w:val="center"/>
          </w:tcPr>
          <w:p w14:paraId="29F29CE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3.76</w:t>
            </w:r>
          </w:p>
        </w:tc>
        <w:tc>
          <w:tcPr>
            <w:tcW w:w="1260" w:type="dxa"/>
            <w:tcBorders>
              <w:bottom w:val="single" w:color="000000" w:sz="18" w:space="0"/>
              <w:right w:val="single" w:color="000000" w:sz="18" w:space="0"/>
            </w:tcBorders>
            <w:noWrap w:val="0"/>
            <w:vAlign w:val="center"/>
          </w:tcPr>
          <w:p w14:paraId="11F1130A">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0.39</w:t>
            </w:r>
          </w:p>
        </w:tc>
        <w:tc>
          <w:tcPr>
            <w:tcW w:w="842" w:type="dxa"/>
            <w:tcBorders>
              <w:bottom w:val="single" w:color="000000" w:sz="18" w:space="0"/>
              <w:right w:val="single" w:color="000000" w:sz="18" w:space="0"/>
            </w:tcBorders>
            <w:noWrap w:val="0"/>
            <w:vAlign w:val="center"/>
          </w:tcPr>
          <w:p w14:paraId="61709BEC">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9.72</w:t>
            </w:r>
          </w:p>
        </w:tc>
      </w:tr>
      <w:tr w14:paraId="7FDD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72" w:type="dxa"/>
            <w:tcBorders>
              <w:left w:val="single" w:color="000000" w:sz="18" w:space="0"/>
              <w:bottom w:val="single" w:color="000000" w:sz="18" w:space="0"/>
              <w:right w:val="single" w:color="000000" w:sz="18" w:space="0"/>
            </w:tcBorders>
            <w:noWrap w:val="0"/>
            <w:vAlign w:val="center"/>
          </w:tcPr>
          <w:p w14:paraId="2F837586">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2020</w:t>
            </w:r>
          </w:p>
        </w:tc>
        <w:tc>
          <w:tcPr>
            <w:tcW w:w="840" w:type="dxa"/>
            <w:tcBorders>
              <w:bottom w:val="single" w:color="000000" w:sz="18" w:space="0"/>
              <w:right w:val="single" w:color="000000" w:sz="18" w:space="0"/>
            </w:tcBorders>
            <w:noWrap w:val="0"/>
            <w:vAlign w:val="center"/>
          </w:tcPr>
          <w:p w14:paraId="56EF6E90">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98.10</w:t>
            </w:r>
          </w:p>
        </w:tc>
        <w:tc>
          <w:tcPr>
            <w:tcW w:w="780" w:type="dxa"/>
            <w:tcBorders>
              <w:bottom w:val="single" w:color="000000" w:sz="18" w:space="0"/>
              <w:right w:val="single" w:color="000000" w:sz="18" w:space="0"/>
            </w:tcBorders>
            <w:noWrap w:val="0"/>
            <w:vAlign w:val="center"/>
          </w:tcPr>
          <w:p w14:paraId="2F95511F">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22.94</w:t>
            </w:r>
          </w:p>
        </w:tc>
        <w:tc>
          <w:tcPr>
            <w:tcW w:w="1305" w:type="dxa"/>
            <w:tcBorders>
              <w:bottom w:val="single" w:color="000000" w:sz="18" w:space="0"/>
              <w:right w:val="single" w:color="000000" w:sz="18" w:space="0"/>
            </w:tcBorders>
            <w:noWrap w:val="0"/>
            <w:vAlign w:val="center"/>
          </w:tcPr>
          <w:p w14:paraId="55F15FD1">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10.74</w:t>
            </w:r>
          </w:p>
        </w:tc>
        <w:tc>
          <w:tcPr>
            <w:tcW w:w="1305" w:type="dxa"/>
            <w:tcBorders>
              <w:bottom w:val="single" w:color="000000" w:sz="18" w:space="0"/>
              <w:right w:val="single" w:color="000000" w:sz="18" w:space="0"/>
            </w:tcBorders>
            <w:noWrap w:val="0"/>
            <w:vAlign w:val="center"/>
          </w:tcPr>
          <w:p w14:paraId="35DD6DB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5.37</w:t>
            </w:r>
          </w:p>
        </w:tc>
        <w:tc>
          <w:tcPr>
            <w:tcW w:w="1110" w:type="dxa"/>
            <w:tcBorders>
              <w:bottom w:val="single" w:color="000000" w:sz="18" w:space="0"/>
              <w:right w:val="single" w:color="000000" w:sz="18" w:space="0"/>
            </w:tcBorders>
            <w:noWrap w:val="0"/>
            <w:vAlign w:val="center"/>
          </w:tcPr>
          <w:p w14:paraId="0DFC3BD6">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0</w:t>
            </w:r>
          </w:p>
        </w:tc>
        <w:tc>
          <w:tcPr>
            <w:tcW w:w="780" w:type="dxa"/>
            <w:tcBorders>
              <w:bottom w:val="single" w:color="000000" w:sz="18" w:space="0"/>
              <w:right w:val="single" w:color="000000" w:sz="18" w:space="0"/>
            </w:tcBorders>
            <w:noWrap w:val="0"/>
            <w:vAlign w:val="center"/>
          </w:tcPr>
          <w:p w14:paraId="3F182691">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6.52</w:t>
            </w:r>
          </w:p>
        </w:tc>
        <w:tc>
          <w:tcPr>
            <w:tcW w:w="960" w:type="dxa"/>
            <w:tcBorders>
              <w:bottom w:val="single" w:color="000000" w:sz="18" w:space="0"/>
              <w:right w:val="single" w:color="000000" w:sz="18" w:space="0"/>
            </w:tcBorders>
            <w:noWrap w:val="0"/>
            <w:vAlign w:val="center"/>
          </w:tcPr>
          <w:p w14:paraId="2B8F7CA8">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3.64</w:t>
            </w:r>
          </w:p>
        </w:tc>
        <w:tc>
          <w:tcPr>
            <w:tcW w:w="1260" w:type="dxa"/>
            <w:tcBorders>
              <w:bottom w:val="single" w:color="000000" w:sz="18" w:space="0"/>
              <w:right w:val="single" w:color="000000" w:sz="18" w:space="0"/>
            </w:tcBorders>
            <w:noWrap w:val="0"/>
            <w:vAlign w:val="center"/>
          </w:tcPr>
          <w:p w14:paraId="5E0116A5">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0.30</w:t>
            </w:r>
          </w:p>
        </w:tc>
        <w:tc>
          <w:tcPr>
            <w:tcW w:w="842" w:type="dxa"/>
            <w:tcBorders>
              <w:bottom w:val="single" w:color="000000" w:sz="18" w:space="0"/>
              <w:right w:val="single" w:color="000000" w:sz="18" w:space="0"/>
            </w:tcBorders>
            <w:noWrap w:val="0"/>
            <w:vAlign w:val="center"/>
          </w:tcPr>
          <w:p w14:paraId="2E26E50E">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10.85</w:t>
            </w:r>
          </w:p>
        </w:tc>
      </w:tr>
    </w:tbl>
    <w:p w14:paraId="347343C7">
      <w:pPr>
        <w:keepNext w:val="0"/>
        <w:keepLines w:val="0"/>
        <w:widowControl/>
        <w:suppressLineNumbers w:val="0"/>
        <w:autoSpaceDE w:val="0"/>
        <w:autoSpaceDN w:val="0"/>
        <w:spacing w:before="0" w:beforeAutospacing="0" w:after="0" w:afterAutospacing="0"/>
        <w:ind w:left="0" w:right="0" w:firstLine="600"/>
        <w:jc w:val="left"/>
        <w:rPr>
          <w:rFonts w:hint="eastAsia" w:ascii="仿宋_GB2312" w:hAnsi="仿宋_GB2312" w:eastAsia="仿宋_GB2312" w:cs="仿宋_GB2312"/>
          <w:kern w:val="0"/>
          <w:sz w:val="32"/>
          <w:szCs w:val="32"/>
        </w:rPr>
      </w:pPr>
      <w:r>
        <w:drawing>
          <wp:anchor distT="0" distB="0" distL="114300" distR="114300" simplePos="0" relativeHeight="251659264" behindDoc="0" locked="0" layoutInCell="1" allowOverlap="1">
            <wp:simplePos x="0" y="0"/>
            <wp:positionH relativeFrom="column">
              <wp:posOffset>328295</wp:posOffset>
            </wp:positionH>
            <wp:positionV relativeFrom="paragraph">
              <wp:posOffset>1985645</wp:posOffset>
            </wp:positionV>
            <wp:extent cx="4572000" cy="2743200"/>
            <wp:effectExtent l="4445" t="4445" r="1460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1B1B33C3">
      <w:pPr>
        <w:keepNext w:val="0"/>
        <w:keepLines w:val="0"/>
        <w:widowControl/>
        <w:suppressLineNumbers w:val="0"/>
        <w:autoSpaceDE w:val="0"/>
        <w:autoSpaceDN w:val="0"/>
        <w:spacing w:before="0" w:beforeAutospacing="0" w:after="0" w:afterAutospacing="0"/>
        <w:ind w:left="0" w:right="0" w:firstLine="600"/>
        <w:jc w:val="left"/>
        <w:rPr>
          <w:rFonts w:hint="eastAsia" w:ascii="宋体" w:hAnsi="宋体" w:eastAsia="宋体" w:cs="宋体"/>
          <w:kern w:val="0"/>
          <w:sz w:val="32"/>
          <w:szCs w:val="32"/>
        </w:rPr>
      </w:pPr>
      <w:r>
        <w:rPr>
          <w:rFonts w:hint="eastAsia" w:ascii="黑体" w:hAnsi="宋体" w:eastAsia="黑体" w:cs="黑体"/>
          <w:kern w:val="0"/>
          <w:sz w:val="32"/>
          <w:szCs w:val="32"/>
          <w:shd w:val="clear" w:fill="FFFFFF"/>
        </w:rPr>
        <w:t>二、支出决算情况说明</w:t>
      </w:r>
    </w:p>
    <w:p w14:paraId="386A942C">
      <w:pPr>
        <w:snapToGrid/>
        <w:spacing w:line="240" w:lineRule="auto"/>
        <w:ind w:firstLine="640" w:firstLineChars="20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昆明科技进修学院部门2020年度支出合计158.46万元。其中：基本支出135.52万元，占总支出的85.52%；项目支出22.94万元，占总支出的14.48%；上缴上级支出、经营支出、对附属单位补助支出共0.00万元，占总支出的0.00%。</w:t>
      </w:r>
    </w:p>
    <w:p w14:paraId="00E5176F">
      <w:pPr>
        <w:snapToGrid/>
        <w:spacing w:line="500" w:lineRule="atLeast"/>
        <w:ind w:firstLine="640" w:firstLineChars="200"/>
        <w:rPr>
          <w:rFonts w:hint="default" w:ascii="仿宋_GB2312" w:hAnsi="Times New Roman" w:eastAsia="仿宋_GB2312"/>
          <w:color w:val="000000"/>
          <w:sz w:val="32"/>
          <w:szCs w:val="32"/>
          <w:lang w:val="en-US"/>
        </w:rPr>
      </w:pPr>
      <w:r>
        <w:rPr>
          <w:rFonts w:hint="eastAsia" w:ascii="仿宋_GB2312" w:hAnsi="仿宋_GB2312" w:eastAsia="仿宋_GB2312" w:cs="仿宋_GB2312"/>
          <w:kern w:val="0"/>
          <w:sz w:val="32"/>
          <w:szCs w:val="32"/>
          <w:shd w:val="clear" w:fill="FFFFFF"/>
          <w:lang w:eastAsia="zh-CN"/>
        </w:rPr>
        <w:t>比</w:t>
      </w:r>
      <w:r>
        <w:rPr>
          <w:rFonts w:hint="eastAsia" w:ascii="仿宋_GB2312" w:hAnsi="Times New Roman" w:eastAsia="仿宋_GB2312" w:cs="Times New Roman"/>
          <w:color w:val="000000"/>
          <w:sz w:val="32"/>
          <w:szCs w:val="32"/>
        </w:rPr>
        <w:t>上年支出</w:t>
      </w:r>
      <w:r>
        <w:rPr>
          <w:rFonts w:hint="eastAsia" w:ascii="仿宋_GB2312" w:hAnsi="仿宋" w:eastAsia="仿宋_GB2312"/>
          <w:sz w:val="32"/>
          <w:szCs w:val="32"/>
        </w:rPr>
        <w:t>139.70</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lang w:eastAsia="zh-CN"/>
        </w:rPr>
        <w:t>增加</w:t>
      </w:r>
      <w:r>
        <w:rPr>
          <w:rFonts w:hint="eastAsia" w:ascii="仿宋_GB2312" w:hAnsi="Times New Roman" w:eastAsia="仿宋_GB2312" w:cs="Times New Roman"/>
          <w:color w:val="000000"/>
          <w:sz w:val="32"/>
          <w:szCs w:val="32"/>
          <w:lang w:val="en-US" w:eastAsia="zh-CN"/>
        </w:rPr>
        <w:t>13.43%，</w:t>
      </w:r>
      <w:r>
        <w:rPr>
          <w:rFonts w:hint="eastAsia" w:ascii="仿宋_GB2312" w:hAnsi="Times New Roman" w:eastAsia="仿宋_GB2312" w:cs="Times New Roman"/>
          <w:color w:val="000000"/>
          <w:sz w:val="32"/>
          <w:szCs w:val="32"/>
          <w:lang w:eastAsia="zh-CN"/>
        </w:rPr>
        <w:t>主要原因为：</w:t>
      </w:r>
      <w:r>
        <w:rPr>
          <w:rFonts w:hint="eastAsia" w:ascii="仿宋_GB2312" w:hAnsi="仿宋_GB2312" w:eastAsia="仿宋_GB2312" w:cs="仿宋_GB2312"/>
          <w:sz w:val="32"/>
          <w:szCs w:val="32"/>
          <w:lang w:val="en-US" w:eastAsia="zh-CN"/>
        </w:rPr>
        <w:t>1</w:t>
      </w:r>
      <w:r>
        <w:rPr>
          <w:rFonts w:hint="eastAsia" w:ascii="仿宋_GB2312" w:eastAsia="仿宋_GB2312"/>
          <w:sz w:val="32"/>
          <w:szCs w:val="32"/>
          <w:lang w:val="en-US" w:eastAsia="zh-CN"/>
        </w:rPr>
        <w:t>.人员经费定额标准调整。2.省级转移支付项目转拨实施。</w:t>
      </w:r>
    </w:p>
    <w:p w14:paraId="25A996DC">
      <w:pPr>
        <w:snapToGrid/>
        <w:spacing w:line="240" w:lineRule="auto"/>
        <w:rPr>
          <w:rFonts w:hint="eastAsia" w:ascii="仿宋_GB2312" w:hAnsi="Times New Roman" w:eastAsia="仿宋_GB2312" w:cs="Times New Roman"/>
          <w:color w:val="000000"/>
          <w:sz w:val="32"/>
          <w:szCs w:val="32"/>
          <w:lang w:val="en-US" w:eastAsia="zh-CN"/>
        </w:rPr>
      </w:pPr>
      <w:r>
        <w:drawing>
          <wp:anchor distT="0" distB="0" distL="114300" distR="114300" simplePos="0" relativeHeight="251660288" behindDoc="0" locked="0" layoutInCell="1" allowOverlap="1">
            <wp:simplePos x="0" y="0"/>
            <wp:positionH relativeFrom="column">
              <wp:posOffset>194945</wp:posOffset>
            </wp:positionH>
            <wp:positionV relativeFrom="page">
              <wp:posOffset>1285240</wp:posOffset>
            </wp:positionV>
            <wp:extent cx="4600575" cy="2781300"/>
            <wp:effectExtent l="4445" t="5080" r="5080" b="1397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0F7E80AB">
      <w:pPr>
        <w:keepNext w:val="0"/>
        <w:keepLines w:val="0"/>
        <w:widowControl/>
        <w:suppressLineNumbers w:val="0"/>
        <w:autoSpaceDE w:val="0"/>
        <w:autoSpaceDN w:val="0"/>
        <w:spacing w:before="0" w:beforeAutospacing="0" w:after="0" w:afterAutospacing="0"/>
        <w:ind w:left="0" w:right="0" w:firstLine="6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shd w:val="clear" w:fill="FFFFFF"/>
        </w:rPr>
        <w:t>（一）基本支出情况</w:t>
      </w:r>
    </w:p>
    <w:p w14:paraId="5DE0E0F1">
      <w:pPr>
        <w:keepNext w:val="0"/>
        <w:keepLines w:val="0"/>
        <w:widowControl/>
        <w:suppressLineNumbers w:val="0"/>
        <w:autoSpaceDE w:val="0"/>
        <w:autoSpaceDN w:val="0"/>
        <w:spacing w:before="0" w:beforeAutospacing="0" w:after="0" w:afterAutospacing="0"/>
        <w:ind w:left="0" w:right="0" w:firstLine="6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2020年度用于保障昆明科技进修学院机构正常运转的日常支出135.52万元。</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val="en-US" w:eastAsia="zh-CN"/>
        </w:rPr>
        <w:t>139.70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主要是</w:t>
      </w:r>
      <w:r>
        <w:rPr>
          <w:rFonts w:hint="eastAsia" w:ascii="仿宋_GB2312" w:eastAsia="仿宋_GB2312"/>
          <w:sz w:val="32"/>
          <w:szCs w:val="32"/>
          <w:lang w:val="en-US" w:eastAsia="zh-CN"/>
        </w:rPr>
        <w:t>人员经费定额标准调整。</w:t>
      </w:r>
      <w:r>
        <w:rPr>
          <w:rFonts w:hint="eastAsia" w:ascii="仿宋_GB2312" w:hAnsi="仿宋_GB2312" w:eastAsia="仿宋_GB2312" w:cs="仿宋_GB2312"/>
          <w:kern w:val="0"/>
          <w:sz w:val="32"/>
          <w:szCs w:val="32"/>
          <w:shd w:val="clear" w:fill="FFFFFF"/>
        </w:rPr>
        <w:t>包括基本工资、津贴补贴等人员经费支出127.24万元，占基本支出的93.89%。办公费、印刷费、水电费、办公设备购置等公用经费8.28万元，占基本支出的6.11%</w:t>
      </w:r>
      <w:r>
        <w:rPr>
          <w:rFonts w:hint="eastAsia" w:ascii="仿宋_GB2312" w:hAnsi="仿宋_GB2312" w:eastAsia="仿宋_GB2312" w:cs="仿宋_GB2312"/>
          <w:color w:val="000000"/>
          <w:kern w:val="0"/>
          <w:sz w:val="32"/>
          <w:szCs w:val="32"/>
          <w:shd w:val="clear" w:fill="FFFFFF"/>
        </w:rPr>
        <w:t>。</w:t>
      </w:r>
    </w:p>
    <w:p w14:paraId="56D5752A">
      <w:pPr>
        <w:keepNext w:val="0"/>
        <w:keepLines w:val="0"/>
        <w:widowControl/>
        <w:suppressLineNumbers w:val="0"/>
        <w:autoSpaceDE w:val="0"/>
        <w:autoSpaceDN w:val="0"/>
        <w:spacing w:before="0" w:beforeAutospacing="0" w:after="0" w:afterAutospacing="0"/>
        <w:ind w:left="0" w:right="0" w:firstLine="6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shd w:val="clear" w:fill="FFFFFF"/>
        </w:rPr>
        <w:t>（二）项目支出情况</w:t>
      </w:r>
    </w:p>
    <w:p w14:paraId="5E5C34CA">
      <w:pPr>
        <w:snapToGrid/>
        <w:spacing w:line="50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2020年度用于保障昆明科技进修学院机构、下属事业单位等机构为完成特定的行政工作任务或事业发展目标，用于专项业务工作的经费支出22.94万元。</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shd w:val="clear" w:fill="FFFFFF"/>
        </w:rPr>
        <w:t>主要原因</w:t>
      </w:r>
      <w:r>
        <w:rPr>
          <w:rFonts w:hint="eastAsia" w:ascii="仿宋_GB2312" w:hAnsi="仿宋_GB2312" w:eastAsia="仿宋_GB2312" w:cs="仿宋_GB2312"/>
          <w:color w:val="auto"/>
          <w:kern w:val="0"/>
          <w:sz w:val="32"/>
          <w:szCs w:val="32"/>
          <w:shd w:val="clear" w:fill="FFFFFF"/>
          <w:lang w:eastAsia="zh-CN"/>
        </w:rPr>
        <w:t>是</w:t>
      </w:r>
      <w:r>
        <w:rPr>
          <w:rFonts w:hint="eastAsia" w:ascii="仿宋_GB2312" w:eastAsia="仿宋_GB2312"/>
          <w:color w:val="auto"/>
          <w:sz w:val="32"/>
          <w:szCs w:val="32"/>
          <w:lang w:val="en-US" w:eastAsia="zh-CN"/>
        </w:rPr>
        <w:t>省级转移支付项目转拨实施。</w:t>
      </w:r>
    </w:p>
    <w:p w14:paraId="35EB288A">
      <w:pPr>
        <w:keepNext w:val="0"/>
        <w:keepLines w:val="0"/>
        <w:widowControl/>
        <w:suppressLineNumbers w:val="0"/>
        <w:autoSpaceDE w:val="0"/>
        <w:autoSpaceDN w:val="0"/>
        <w:spacing w:before="0" w:beforeAutospacing="0" w:after="0" w:afterAutospacing="0"/>
        <w:ind w:left="0" w:right="0" w:firstLine="600"/>
        <w:jc w:val="left"/>
        <w:rPr>
          <w:rFonts w:hint="eastAsia" w:ascii="黑体" w:hAnsi="宋体" w:eastAsia="黑体" w:cs="黑体"/>
          <w:kern w:val="0"/>
          <w:sz w:val="32"/>
          <w:szCs w:val="32"/>
          <w:shd w:val="clear" w:fill="FFFFFF"/>
        </w:rPr>
      </w:pPr>
    </w:p>
    <w:p w14:paraId="3151CA7F">
      <w:pPr>
        <w:keepNext w:val="0"/>
        <w:keepLines w:val="0"/>
        <w:widowControl/>
        <w:suppressLineNumbers w:val="0"/>
        <w:autoSpaceDE w:val="0"/>
        <w:autoSpaceDN w:val="0"/>
        <w:spacing w:before="0" w:beforeAutospacing="0" w:after="0" w:afterAutospacing="0"/>
        <w:ind w:left="0" w:right="0" w:firstLine="600"/>
        <w:jc w:val="left"/>
        <w:rPr>
          <w:rFonts w:hint="eastAsia" w:ascii="宋体" w:hAnsi="宋体" w:eastAsia="宋体" w:cs="宋体"/>
          <w:kern w:val="0"/>
          <w:sz w:val="32"/>
          <w:szCs w:val="32"/>
        </w:rPr>
      </w:pPr>
      <w:r>
        <w:rPr>
          <w:rFonts w:hint="eastAsia" w:ascii="黑体" w:hAnsi="宋体" w:eastAsia="黑体" w:cs="黑体"/>
          <w:kern w:val="0"/>
          <w:sz w:val="32"/>
          <w:szCs w:val="32"/>
          <w:shd w:val="clear" w:fill="FFFFFF"/>
        </w:rPr>
        <w:t>三、一般公共预算财政拨款支出决算情况说明</w:t>
      </w:r>
    </w:p>
    <w:p w14:paraId="069CE574">
      <w:pPr>
        <w:keepNext w:val="0"/>
        <w:keepLines w:val="0"/>
        <w:widowControl/>
        <w:suppressLineNumbers w:val="0"/>
        <w:autoSpaceDE w:val="0"/>
        <w:autoSpaceDN w:val="0"/>
        <w:spacing w:before="0" w:beforeAutospacing="0" w:after="0" w:afterAutospacing="0"/>
        <w:ind w:left="0" w:right="0" w:firstLine="6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shd w:val="clear" w:fill="FFFFFF"/>
        </w:rPr>
        <w:t>（一）一般公共预算财政拨款支出决算总体情况</w:t>
      </w:r>
    </w:p>
    <w:p w14:paraId="5C9531C0">
      <w:pPr>
        <w:snapToGrid/>
        <w:spacing w:line="500" w:lineRule="atLeast"/>
        <w:ind w:firstLine="640" w:firstLineChars="200"/>
        <w:rPr>
          <w:rFonts w:hint="default" w:ascii="仿宋_GB2312" w:hAnsi="Times New Roman" w:eastAsia="仿宋_GB2312"/>
          <w:color w:val="000000"/>
          <w:sz w:val="32"/>
          <w:szCs w:val="32"/>
          <w:lang w:val="en-US"/>
        </w:rPr>
      </w:pPr>
      <w:r>
        <w:rPr>
          <w:rFonts w:hint="eastAsia" w:ascii="仿宋_GB2312" w:hAnsi="仿宋_GB2312" w:eastAsia="仿宋_GB2312" w:cs="仿宋_GB2312"/>
          <w:kern w:val="0"/>
          <w:sz w:val="32"/>
          <w:szCs w:val="32"/>
          <w:shd w:val="clear" w:fill="FFFFFF"/>
        </w:rPr>
        <w:t>昆明科技进修学院部门2020年度一般公共预算财政拨款支出158.46万元，占本年支出合计的100.00%</w:t>
      </w:r>
      <w:r>
        <w:rPr>
          <w:rFonts w:hint="eastAsia" w:ascii="仿宋_GB2312" w:hAnsi="仿宋_GB2312" w:eastAsia="仿宋_GB2312" w:cs="仿宋_GB2312"/>
          <w:color w:val="000000"/>
          <w:kern w:val="0"/>
          <w:sz w:val="32"/>
          <w:szCs w:val="32"/>
          <w:shd w:val="clear" w:fill="FFFFFF"/>
        </w:rPr>
        <w:t>。</w:t>
      </w:r>
      <w:r>
        <w:rPr>
          <w:rFonts w:hint="eastAsia" w:ascii="仿宋_GB2312" w:hAnsi="Times New Roman" w:eastAsia="仿宋_GB2312" w:cs="Times New Roman"/>
          <w:color w:val="000000"/>
          <w:sz w:val="32"/>
          <w:szCs w:val="32"/>
        </w:rPr>
        <w:t>比上年收入</w:t>
      </w:r>
      <w:r>
        <w:rPr>
          <w:rFonts w:hint="eastAsia" w:ascii="仿宋_GB2312" w:hAnsi="仿宋" w:eastAsia="仿宋_GB2312"/>
          <w:sz w:val="32"/>
          <w:szCs w:val="32"/>
        </w:rPr>
        <w:t>139.70</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lang w:eastAsia="zh-CN"/>
        </w:rPr>
        <w:t>增加</w:t>
      </w:r>
      <w:r>
        <w:rPr>
          <w:rFonts w:hint="eastAsia" w:ascii="仿宋_GB2312" w:hAnsi="Times New Roman" w:eastAsia="仿宋_GB2312" w:cs="Times New Roman"/>
          <w:color w:val="000000"/>
          <w:sz w:val="32"/>
          <w:szCs w:val="32"/>
          <w:lang w:val="en-US" w:eastAsia="zh-CN"/>
        </w:rPr>
        <w:t>13.43%</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eastAsia="zh-CN"/>
        </w:rPr>
        <w:t>主要原因为：</w:t>
      </w:r>
      <w:r>
        <w:rPr>
          <w:rFonts w:hint="eastAsia" w:ascii="仿宋_GB2312" w:hAnsi="仿宋_GB2312" w:eastAsia="仿宋_GB2312" w:cs="仿宋_GB2312"/>
          <w:sz w:val="32"/>
          <w:szCs w:val="32"/>
          <w:lang w:val="en-US" w:eastAsia="zh-CN"/>
        </w:rPr>
        <w:t>1</w:t>
      </w:r>
      <w:r>
        <w:rPr>
          <w:rFonts w:hint="eastAsia" w:ascii="仿宋_GB2312" w:eastAsia="仿宋_GB2312"/>
          <w:sz w:val="32"/>
          <w:szCs w:val="32"/>
          <w:lang w:val="en-US" w:eastAsia="zh-CN"/>
        </w:rPr>
        <w:t>.人员经费定额标准调整。2.省级转移支付项目转拨实施。</w:t>
      </w:r>
    </w:p>
    <w:p w14:paraId="2FA299C2">
      <w:pPr>
        <w:keepNext w:val="0"/>
        <w:keepLines w:val="0"/>
        <w:widowControl/>
        <w:suppressLineNumbers w:val="0"/>
        <w:autoSpaceDE w:val="0"/>
        <w:autoSpaceDN w:val="0"/>
        <w:spacing w:before="0" w:beforeAutospacing="0" w:after="0" w:afterAutospacing="0"/>
        <w:ind w:left="0" w:right="0" w:firstLine="6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shd w:val="clear" w:fill="FFFFFF"/>
        </w:rPr>
        <w:t>（二）一般公共预算财政拨款支出决算具体情况</w:t>
      </w:r>
    </w:p>
    <w:p w14:paraId="7644E21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0"/>
          <w:sz w:val="32"/>
          <w:szCs w:val="32"/>
          <w:shd w:val="clear" w:fill="FFFFFF"/>
        </w:rPr>
        <w:t xml:space="preserve"> 1.一般公共服务（类）支出0.00万元，占一般公共预算财政拨款总支出的0.00%。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6626BBF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shd w:val="clear" w:fill="FFFFFF"/>
          <w:lang w:eastAsia="zh-CN"/>
        </w:rPr>
      </w:pPr>
      <w:r>
        <w:rPr>
          <w:rFonts w:hint="eastAsia" w:ascii="仿宋_GB2312" w:hAnsi="仿宋_GB2312" w:eastAsia="仿宋_GB2312" w:cs="仿宋_GB2312"/>
          <w:kern w:val="0"/>
          <w:sz w:val="32"/>
          <w:szCs w:val="32"/>
          <w:shd w:val="clear" w:fill="FFFFFF"/>
        </w:rPr>
        <w:t>2.外交（类）支出0.00万元，占一般公共预算财政拨款总支出的0.00%。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36838D4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shd w:val="clear" w:fill="FFFFFF"/>
          <w:lang w:eastAsia="zh-CN"/>
        </w:rPr>
      </w:pPr>
      <w:r>
        <w:rPr>
          <w:rFonts w:hint="eastAsia" w:ascii="仿宋_GB2312" w:hAnsi="仿宋_GB2312" w:eastAsia="仿宋_GB2312" w:cs="仿宋_GB2312"/>
          <w:kern w:val="0"/>
          <w:sz w:val="32"/>
          <w:szCs w:val="32"/>
          <w:shd w:val="clear" w:fill="FFFFFF"/>
        </w:rPr>
        <w:t>3.国防（类）支出0.00万元，占一般公共预算财政拨款总支出的0.00%。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2C7D596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4.公共安全（类）支出0.00万元，占一般公共预算财政拨款总支出的0.00%。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1FBA3A2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5.教育（类）支出0.00万元，占一般公共预算财政拨款总支出的0.00%。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2325746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等线" w:eastAsia="仿宋_GB2312" w:cs="仿宋_GB2312"/>
          <w:kern w:val="2"/>
          <w:sz w:val="32"/>
          <w:szCs w:val="32"/>
        </w:rPr>
      </w:pPr>
      <w:r>
        <w:rPr>
          <w:rFonts w:hint="eastAsia" w:ascii="仿宋_GB2312" w:hAnsi="仿宋_GB2312" w:eastAsia="仿宋_GB2312" w:cs="仿宋_GB2312"/>
          <w:kern w:val="0"/>
          <w:sz w:val="32"/>
          <w:szCs w:val="32"/>
          <w:shd w:val="clear" w:fill="FFFFFF"/>
        </w:rPr>
        <w:t>6.科学技术（类）支出121.04万元，占一般公共预算财政拨款总支出的76.39%。</w:t>
      </w:r>
      <w:r>
        <w:rPr>
          <w:rFonts w:hint="eastAsia" w:ascii="仿宋_GB2312" w:hAnsi="等线" w:eastAsia="仿宋_GB2312" w:cs="仿宋_GB2312"/>
          <w:kern w:val="2"/>
          <w:sz w:val="32"/>
          <w:szCs w:val="32"/>
        </w:rPr>
        <w:t>主要用于保障</w:t>
      </w:r>
      <w:r>
        <w:rPr>
          <w:rFonts w:hint="eastAsia" w:ascii="仿宋_GB2312" w:hAnsi="等线" w:eastAsia="仿宋_GB2312" w:cs="仿宋_GB2312"/>
          <w:kern w:val="2"/>
          <w:sz w:val="32"/>
          <w:szCs w:val="32"/>
          <w:lang w:eastAsia="zh-CN"/>
        </w:rPr>
        <w:t>进修学院</w:t>
      </w:r>
      <w:r>
        <w:rPr>
          <w:rFonts w:hint="eastAsia" w:ascii="仿宋_GB2312" w:hAnsi="等线" w:eastAsia="仿宋_GB2312" w:cs="仿宋_GB2312"/>
          <w:kern w:val="2"/>
          <w:sz w:val="32"/>
          <w:szCs w:val="32"/>
        </w:rPr>
        <w:t>正常运转，为完成特定的工作任务或事业发展目标，用于专项业务工作的经费支出。</w:t>
      </w:r>
    </w:p>
    <w:p w14:paraId="4DC663F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等线" w:eastAsia="仿宋_GB2312" w:cs="仿宋_GB2312"/>
          <w:kern w:val="2"/>
          <w:sz w:val="32"/>
          <w:szCs w:val="32"/>
        </w:rPr>
      </w:pPr>
      <w:r>
        <w:rPr>
          <w:rFonts w:hint="eastAsia" w:ascii="仿宋_GB2312" w:hAnsi="仿宋_GB2312" w:eastAsia="仿宋_GB2312" w:cs="仿宋_GB2312"/>
          <w:kern w:val="0"/>
          <w:sz w:val="32"/>
          <w:szCs w:val="32"/>
          <w:shd w:val="clear" w:fill="FFFFFF"/>
        </w:rPr>
        <w:t>7.文化旅游体育与传媒（类）支出0.00万元，占一般公共预算财政拨款总支出的0.00%。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r>
        <w:rPr>
          <w:rFonts w:hint="eastAsia" w:ascii="仿宋_GB2312" w:hAnsi="等线" w:eastAsia="仿宋_GB2312" w:cs="仿宋_GB2312"/>
          <w:kern w:val="2"/>
          <w:sz w:val="32"/>
          <w:szCs w:val="32"/>
        </w:rPr>
        <w:t>。</w:t>
      </w:r>
    </w:p>
    <w:p w14:paraId="26CF7151">
      <w:pPr>
        <w:keepNext w:val="0"/>
        <w:keepLines w:val="0"/>
        <w:pageBreakBefore w:val="0"/>
        <w:widowControl/>
        <w:kinsoku/>
        <w:wordWrap/>
        <w:overflowPunct/>
        <w:topLinePunct w:val="0"/>
        <w:bidi w:val="0"/>
        <w:adjustRightInd/>
        <w:snapToGrid/>
        <w:ind w:firstLine="640" w:firstLineChars="200"/>
        <w:jc w:val="both"/>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shd w:val="clear" w:fill="FFFFFF"/>
        </w:rPr>
        <w:t>8.社会保障和就业（类）支出16.11万元，占一般公共预算财政拨款总支出的10.17%。</w:t>
      </w:r>
      <w:r>
        <w:rPr>
          <w:rFonts w:hint="eastAsia" w:ascii="仿宋_GB2312" w:hAnsi="等线" w:eastAsia="仿宋_GB2312" w:cs="仿宋_GB2312"/>
          <w:kern w:val="2"/>
          <w:sz w:val="32"/>
          <w:szCs w:val="32"/>
        </w:rPr>
        <w:t>主要用于</w:t>
      </w:r>
      <w:r>
        <w:rPr>
          <w:rFonts w:hint="eastAsia" w:ascii="仿宋_GB2312" w:hAnsi="等线" w:eastAsia="仿宋_GB2312" w:cs="仿宋_GB2312"/>
          <w:kern w:val="2"/>
          <w:sz w:val="32"/>
          <w:szCs w:val="32"/>
          <w:lang w:eastAsia="zh-CN"/>
        </w:rPr>
        <w:t>进修学院</w:t>
      </w:r>
      <w:r>
        <w:rPr>
          <w:rFonts w:hint="eastAsia" w:ascii="仿宋_GB2312" w:hAnsi="等线" w:eastAsia="仿宋_GB2312" w:cs="仿宋_GB2312"/>
          <w:kern w:val="2"/>
          <w:sz w:val="32"/>
          <w:szCs w:val="32"/>
        </w:rPr>
        <w:t>基本养老保险、职业年金缴费支出</w:t>
      </w:r>
      <w:r>
        <w:rPr>
          <w:rFonts w:hint="eastAsia" w:ascii="仿宋_GB2312" w:hAnsi="等线" w:eastAsia="仿宋_GB2312" w:cs="仿宋_GB2312"/>
          <w:kern w:val="2"/>
          <w:sz w:val="32"/>
          <w:szCs w:val="32"/>
          <w:lang w:eastAsia="zh-CN"/>
        </w:rPr>
        <w:t>。其中：基本养老保险缴费支出</w:t>
      </w:r>
      <w:r>
        <w:rPr>
          <w:rFonts w:hint="eastAsia" w:ascii="仿宋_GB2312" w:hAnsi="等线" w:eastAsia="仿宋_GB2312" w:cs="仿宋_GB2312"/>
          <w:kern w:val="2"/>
          <w:sz w:val="32"/>
          <w:szCs w:val="32"/>
          <w:lang w:val="en-US" w:eastAsia="zh-CN"/>
        </w:rPr>
        <w:t>10.74万元，职业年金缴费支出5.37万元。</w:t>
      </w:r>
    </w:p>
    <w:p w14:paraId="78FE37E5">
      <w:pPr>
        <w:keepNext w:val="0"/>
        <w:keepLines w:val="0"/>
        <w:pageBreakBefore w:val="0"/>
        <w:widowControl/>
        <w:kinsoku/>
        <w:wordWrap/>
        <w:overflowPunct/>
        <w:topLinePunct w:val="0"/>
        <w:bidi w:val="0"/>
        <w:adjustRightInd/>
        <w:snapToGrid/>
        <w:ind w:firstLine="640" w:firstLineChars="200"/>
        <w:jc w:val="both"/>
        <w:textAlignment w:val="auto"/>
        <w:rPr>
          <w:rFonts w:hint="default" w:ascii="仿宋_GB2312" w:hAnsi="等线" w:eastAsia="仿宋_GB2312" w:cs="仿宋_GB2312"/>
          <w:kern w:val="2"/>
          <w:sz w:val="32"/>
          <w:szCs w:val="32"/>
          <w:lang w:val="en-US" w:eastAsia="zh-CN"/>
        </w:rPr>
      </w:pPr>
      <w:r>
        <w:rPr>
          <w:rFonts w:hint="eastAsia" w:ascii="仿宋_GB2312" w:hAnsi="仿宋_GB2312" w:eastAsia="仿宋_GB2312" w:cs="仿宋_GB2312"/>
          <w:kern w:val="0"/>
          <w:sz w:val="32"/>
          <w:szCs w:val="32"/>
          <w:shd w:val="clear" w:fill="FFFFFF"/>
        </w:rPr>
        <w:t>9.卫生健康（类）支出10.46万元，占一般公共预算财政拨款总支出的6.60%。</w:t>
      </w:r>
      <w:r>
        <w:rPr>
          <w:rFonts w:hint="eastAsia" w:ascii="仿宋_GB2312" w:hAnsi="等线" w:eastAsia="仿宋_GB2312" w:cs="仿宋_GB2312"/>
          <w:kern w:val="2"/>
          <w:sz w:val="32"/>
          <w:szCs w:val="32"/>
        </w:rPr>
        <w:t>主要用于单位职工医疗保险缴费支出。</w:t>
      </w:r>
      <w:r>
        <w:rPr>
          <w:rFonts w:hint="eastAsia" w:ascii="仿宋_GB2312" w:hAnsi="等线" w:eastAsia="仿宋_GB2312" w:cs="仿宋_GB2312"/>
          <w:kern w:val="2"/>
          <w:sz w:val="32"/>
          <w:szCs w:val="32"/>
          <w:lang w:eastAsia="zh-CN"/>
        </w:rPr>
        <w:t>其中</w:t>
      </w:r>
      <w:r>
        <w:rPr>
          <w:rFonts w:hint="eastAsia" w:ascii="仿宋_GB2312" w:hAnsi="等线" w:eastAsia="仿宋_GB2312" w:cs="仿宋_GB2312"/>
          <w:kern w:val="2"/>
          <w:sz w:val="32"/>
          <w:szCs w:val="32"/>
          <w:lang w:val="en-US" w:eastAsia="zh-CN"/>
        </w:rPr>
        <w:t>:事业单位医疗6.52万元，公务员医疗补助3.64万元，其他行政事业单位医疗支出0.30万元。</w:t>
      </w:r>
    </w:p>
    <w:p w14:paraId="16B7AD8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10.节能环保（类）支出0.00万元，占一般公共预算财政拨款总支出的0.00%。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1BF5D5F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shd w:val="clear" w:fill="FFFFFF"/>
          <w:lang w:eastAsia="zh-CN"/>
        </w:rPr>
      </w:pPr>
      <w:r>
        <w:rPr>
          <w:rFonts w:hint="eastAsia" w:ascii="仿宋_GB2312" w:hAnsi="仿宋_GB2312" w:eastAsia="仿宋_GB2312" w:cs="仿宋_GB2312"/>
          <w:kern w:val="0"/>
          <w:sz w:val="32"/>
          <w:szCs w:val="32"/>
          <w:shd w:val="clear" w:fill="FFFFFF"/>
        </w:rPr>
        <w:t>11.城乡社区（类）支出0.00万元，占一般公共预算财政拨款总支出的0.00%。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2BD3346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12.农林水（类）支出0.00万元，占一般公共预算财政拨款总支出的0.00%。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1106C13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13.交通运输（类）支出0.00万元，占一般公共预算财政拨款总支出的0.00%。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32FDAC5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14.资源勘探信息等（类）支出0.00万元，占一般公共预算财政拨款总支出的0.00%。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6903029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15.商业服务业等（类）支出0.00万元，占一般公共预算财政拨款总支出的0.00%。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6D0F477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16.金融（类）支出0.00万元，占一般公共预算财政拨款总支出的0.00%。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52FF3D6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17.援助其他地区（类）支出0.00万元，占一般公共预算财政拨款总支出的0.00%。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5A16EE7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18.自然资源海洋气象等（类）支出0.00万元，占一般公共预算财政拨款总支出的0.00%。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3766F23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shd w:val="clear" w:fill="FFFFFF"/>
        </w:rPr>
        <w:t>19.住房保障（类）支出10.85万元，占一般公共预算财政拨款总支出的6.85%。</w:t>
      </w:r>
      <w:r>
        <w:rPr>
          <w:rFonts w:hint="eastAsia" w:ascii="仿宋_GB2312" w:hAnsi="等线" w:eastAsia="仿宋_GB2312" w:cs="仿宋_GB2312"/>
          <w:kern w:val="2"/>
          <w:sz w:val="32"/>
          <w:szCs w:val="32"/>
        </w:rPr>
        <w:t>主要用于</w:t>
      </w:r>
      <w:r>
        <w:rPr>
          <w:rFonts w:hint="eastAsia" w:ascii="仿宋_GB2312" w:hAnsi="等线" w:eastAsia="仿宋_GB2312" w:cs="仿宋_GB2312"/>
          <w:kern w:val="2"/>
          <w:sz w:val="32"/>
          <w:szCs w:val="32"/>
          <w:lang w:eastAsia="zh-CN"/>
        </w:rPr>
        <w:t>我</w:t>
      </w:r>
      <w:r>
        <w:rPr>
          <w:rFonts w:hint="eastAsia" w:ascii="仿宋_GB2312" w:hAnsi="等线" w:eastAsia="仿宋_GB2312" w:cs="仿宋_GB2312"/>
          <w:kern w:val="2"/>
          <w:sz w:val="32"/>
          <w:szCs w:val="32"/>
        </w:rPr>
        <w:t>单位职工住房公积金缴费支出</w:t>
      </w:r>
      <w:r>
        <w:rPr>
          <w:rFonts w:hint="eastAsia" w:ascii="仿宋_GB2312" w:hAnsi="等线" w:eastAsia="仿宋_GB2312" w:cs="仿宋_GB2312"/>
          <w:kern w:val="2"/>
          <w:sz w:val="32"/>
          <w:szCs w:val="32"/>
          <w:lang w:eastAsia="zh-CN"/>
        </w:rPr>
        <w:t>。</w:t>
      </w:r>
    </w:p>
    <w:p w14:paraId="3AC2C3A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20.粮油物资储备（类）支出0.00万元，占一般公共预算财政拨款总支出的0.00%。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640899F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21.国有资本经营预算（类）支出0.00万元，占一般公共预算财政拨款总支出的0.00%。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0927F62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22.灾害防治及应急管理（类）支出0.00万元，占一般公共预算财政拨款总支出的0.00%。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398863C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23.其他（类）支出0.00万元，占一般公共预算财政拨款总支出的0.00%。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6063FC6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24.债务还本（类）支出0.00万元，占一般公共预算财政拨款总支出的0.00%。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04444B0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25.债务付息（类）支出0.00万元，占一般公共预算财政拨款总支出的0.00%。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739D034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26.抗疫特别国债安排（类）支出0.00万元，占一般公共预算财政拨款总支出的0.00%。</w:t>
      </w:r>
      <w:r>
        <w:rPr>
          <w:rFonts w:hint="eastAsia" w:ascii="仿宋_GB2312" w:hAnsi="仿宋_GB2312" w:eastAsia="仿宋_GB2312" w:cs="仿宋_GB2312"/>
          <w:kern w:val="0"/>
          <w:sz w:val="32"/>
          <w:szCs w:val="32"/>
          <w:shd w:val="clear" w:fill="FFFFFF"/>
          <w:lang w:eastAsia="zh-CN"/>
        </w:rPr>
        <w:t>我单位无该类支出。</w:t>
      </w:r>
    </w:p>
    <w:p w14:paraId="7261A14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宋体" w:hAnsi="宋体" w:eastAsia="宋体" w:cs="宋体"/>
          <w:kern w:val="0"/>
          <w:sz w:val="32"/>
          <w:szCs w:val="32"/>
        </w:rPr>
      </w:pPr>
      <w:r>
        <w:rPr>
          <w:rFonts w:hint="eastAsia" w:ascii="黑体" w:hAnsi="宋体" w:eastAsia="黑体" w:cs="黑体"/>
          <w:kern w:val="0"/>
          <w:sz w:val="32"/>
          <w:szCs w:val="32"/>
          <w:shd w:val="clear" w:fill="FFFFFF"/>
        </w:rPr>
        <w:t>四、一般公共预算财政拨款</w:t>
      </w:r>
      <w:r>
        <w:rPr>
          <w:rFonts w:hint="eastAsia" w:ascii="宋体" w:hAnsi="宋体" w:eastAsia="宋体" w:cs="宋体"/>
          <w:kern w:val="0"/>
          <w:sz w:val="32"/>
          <w:szCs w:val="32"/>
          <w:shd w:val="clear" w:fill="FFFFFF"/>
        </w:rPr>
        <w:t>“</w:t>
      </w:r>
      <w:r>
        <w:rPr>
          <w:rFonts w:hint="eastAsia" w:ascii="黑体" w:hAnsi="宋体" w:eastAsia="黑体" w:cs="黑体"/>
          <w:kern w:val="0"/>
          <w:sz w:val="32"/>
          <w:szCs w:val="32"/>
          <w:shd w:val="clear" w:fill="FFFFFF"/>
        </w:rPr>
        <w:t>三公</w:t>
      </w:r>
      <w:r>
        <w:rPr>
          <w:rFonts w:hint="eastAsia" w:ascii="宋体" w:hAnsi="宋体" w:eastAsia="宋体" w:cs="宋体"/>
          <w:kern w:val="0"/>
          <w:sz w:val="32"/>
          <w:szCs w:val="32"/>
          <w:shd w:val="clear" w:fill="FFFFFF"/>
        </w:rPr>
        <w:t>”</w:t>
      </w:r>
      <w:r>
        <w:rPr>
          <w:rFonts w:hint="eastAsia" w:ascii="黑体" w:hAnsi="宋体" w:eastAsia="黑体" w:cs="黑体"/>
          <w:kern w:val="0"/>
          <w:sz w:val="32"/>
          <w:szCs w:val="32"/>
          <w:shd w:val="clear" w:fill="FFFFFF"/>
        </w:rPr>
        <w:t>经费支出决算情况说明</w:t>
      </w:r>
    </w:p>
    <w:p w14:paraId="69BD39D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宋体" w:hAnsi="宋体" w:eastAsia="宋体" w:cs="宋体"/>
          <w:kern w:val="0"/>
          <w:sz w:val="32"/>
          <w:szCs w:val="32"/>
        </w:rPr>
      </w:pPr>
      <w:r>
        <w:rPr>
          <w:rFonts w:hint="eastAsia" w:ascii="楷体_GB2312" w:hAnsi="楷体_GB2312" w:eastAsia="楷体_GB2312" w:cs="楷体_GB2312"/>
          <w:kern w:val="0"/>
          <w:sz w:val="32"/>
          <w:szCs w:val="32"/>
          <w:shd w:val="clear" w:fill="FFFFFF"/>
        </w:rPr>
        <w:t>(一) 一般公共预算财政拨款“三公”经费支出决算总体情况</w:t>
      </w:r>
    </w:p>
    <w:p w14:paraId="6E3CE5E2">
      <w:pPr>
        <w:autoSpaceDE w:val="0"/>
        <w:autoSpaceDN/>
        <w:spacing w:line="590" w:lineRule="exact"/>
        <w:ind w:lef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昆明科技进修学院部门2020年度一般公共预算财政拨款“三公”经费支出预算为0.00万元，支出决算为0.00万元，完成预算的0.00%。其中：因公出国（境）费支出决算为0.00万元，完成预算的0.00%；公务用车购置及运行费支出决算为0.00万元，完成预算的0.00%；公务接待费支出决算为0.00万元，完成预算的0.00%。</w:t>
      </w:r>
      <w:r>
        <w:rPr>
          <w:rFonts w:hint="eastAsia" w:ascii="仿宋_GB2312" w:hAnsi="仿宋_GB2312" w:eastAsia="仿宋_GB2312" w:cs="仿宋_GB2312"/>
          <w:color w:val="auto"/>
          <w:kern w:val="0"/>
          <w:sz w:val="32"/>
          <w:szCs w:val="32"/>
          <w:shd w:val="clear" w:fill="FFFFFF"/>
        </w:rPr>
        <w:t>2</w:t>
      </w:r>
      <w:r>
        <w:rPr>
          <w:rFonts w:hint="eastAsia" w:ascii="仿宋_GB2312" w:hAnsi="仿宋_GB2312" w:eastAsia="仿宋_GB2312" w:cs="仿宋_GB2312"/>
          <w:kern w:val="0"/>
          <w:sz w:val="32"/>
          <w:szCs w:val="32"/>
          <w:shd w:val="clear" w:fill="FFFFFF"/>
        </w:rPr>
        <w:t>020</w:t>
      </w:r>
      <w:r>
        <w:rPr>
          <w:rFonts w:hint="eastAsia" w:ascii="仿宋_GB2312" w:hAnsi="仿宋_GB2312" w:eastAsia="仿宋_GB2312" w:cs="仿宋_GB2312"/>
          <w:kern w:val="0"/>
          <w:sz w:val="32"/>
          <w:szCs w:val="32"/>
          <w:shd w:val="clear" w:fill="FFFFFF"/>
          <w:lang w:eastAsia="zh-CN"/>
        </w:rPr>
        <w:t>年度一般公共预算财政拨款“三公”经费支出决算数与预算数相比无增减变化。</w:t>
      </w:r>
    </w:p>
    <w:p w14:paraId="38C3ED8F">
      <w:pPr>
        <w:autoSpaceDE w:val="0"/>
        <w:autoSpaceDN/>
        <w:spacing w:line="590" w:lineRule="exact"/>
        <w:ind w:left="0" w:firstLine="640" w:firstLineChars="200"/>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kern w:val="0"/>
          <w:sz w:val="32"/>
          <w:szCs w:val="32"/>
          <w:shd w:val="clear" w:fill="FFFFFF"/>
        </w:rPr>
        <w:t>2020年度一般公共预算财政拨款“三公”经费支出决算数比2019年增加0.00万元，增长0.00%。其中：因公出国（境）费支出决算增加0.00万元，增长0.00%；公务用车购置及运行费支出决算增加0.00万元，增长0.00%；公务接待费支出决算增加0.00万元，增长0.00%。2020年度</w:t>
      </w:r>
      <w:r>
        <w:rPr>
          <w:rFonts w:hint="eastAsia" w:ascii="仿宋_GB2312" w:hAnsi="仿宋_GB2312" w:eastAsia="仿宋_GB2312" w:cs="仿宋_GB2312"/>
          <w:kern w:val="0"/>
          <w:sz w:val="32"/>
          <w:szCs w:val="32"/>
          <w:shd w:val="clear" w:fill="FFFFFF"/>
          <w:lang w:eastAsia="zh-CN"/>
        </w:rPr>
        <w:t>一般公共预算财政拨款“三公”经费支出决算与上年相比无增减变化。</w:t>
      </w:r>
    </w:p>
    <w:p w14:paraId="530A7B0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shd w:val="clear" w:fill="FFFFFF"/>
        </w:rPr>
        <w:t>(二) 一般公共预算财政拨款“三公”经费支出决算具体情况</w:t>
      </w:r>
    </w:p>
    <w:p w14:paraId="5196E83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2020年度一般公共预算财政拨款“三公”经费支出决算中，因公出国（境）费支出0.00万元，占0.00%；公务用车购置及运行维护费支出0.00万元，占0.00%；公务接待费支出0.00万元，占0.00%。具体情况如下：</w:t>
      </w:r>
    </w:p>
    <w:p w14:paraId="33F99CF8">
      <w:pPr>
        <w:autoSpaceDE w:val="0"/>
        <w:autoSpaceDN w:val="0"/>
        <w:adjustRightInd w:val="0"/>
        <w:spacing w:line="590" w:lineRule="exact"/>
        <w:ind w:left="0" w:firstLine="643" w:firstLineChars="20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b/>
          <w:kern w:val="0"/>
          <w:sz w:val="32"/>
          <w:szCs w:val="32"/>
          <w:shd w:val="clear" w:fill="FFFFFF"/>
        </w:rPr>
        <w:t>1.因公出国（境）费</w:t>
      </w:r>
      <w:r>
        <w:rPr>
          <w:rFonts w:hint="eastAsia" w:ascii="仿宋_GB2312" w:hAnsi="仿宋_GB2312" w:eastAsia="仿宋_GB2312" w:cs="仿宋_GB2312"/>
          <w:kern w:val="0"/>
          <w:sz w:val="32"/>
          <w:szCs w:val="32"/>
          <w:shd w:val="clear" w:fill="FFFFFF"/>
        </w:rPr>
        <w:t>支出0.00万元，共安排因公出国（境）团组0个，累计0人次。</w:t>
      </w:r>
      <w:r>
        <w:rPr>
          <w:rFonts w:hint="eastAsia" w:ascii="仿宋_GB2312" w:hAnsi="仿宋_GB2312" w:eastAsia="仿宋_GB2312" w:cs="仿宋_GB2312"/>
          <w:kern w:val="0"/>
          <w:sz w:val="32"/>
          <w:szCs w:val="32"/>
          <w:shd w:val="clear" w:fill="FFFFFF"/>
          <w:lang w:eastAsia="zh-CN"/>
        </w:rPr>
        <w:t>我单位</w:t>
      </w:r>
      <w:r>
        <w:rPr>
          <w:rFonts w:hint="eastAsia" w:ascii="仿宋_GB2312" w:hAnsi="仿宋_GB2312" w:eastAsia="仿宋_GB2312" w:cs="仿宋_GB2312"/>
          <w:kern w:val="0"/>
          <w:sz w:val="32"/>
          <w:szCs w:val="32"/>
          <w:shd w:val="clear" w:fill="FFFFFF"/>
          <w:lang w:val="en-US"/>
        </w:rPr>
        <w:t>20</w:t>
      </w:r>
      <w:r>
        <w:rPr>
          <w:rFonts w:hint="eastAsia" w:ascii="仿宋_GB2312" w:hAnsi="仿宋_GB2312" w:eastAsia="仿宋_GB2312" w:cs="仿宋_GB2312"/>
          <w:kern w:val="0"/>
          <w:sz w:val="32"/>
          <w:szCs w:val="32"/>
          <w:shd w:val="clear" w:fill="FFFFFF"/>
          <w:lang w:val="en-US" w:eastAsia="zh-CN"/>
        </w:rPr>
        <w:t>20</w:t>
      </w:r>
      <w:r>
        <w:rPr>
          <w:rFonts w:hint="eastAsia" w:ascii="仿宋_GB2312" w:hAnsi="仿宋_GB2312" w:eastAsia="仿宋_GB2312" w:cs="仿宋_GB2312"/>
          <w:kern w:val="0"/>
          <w:sz w:val="32"/>
          <w:szCs w:val="32"/>
          <w:shd w:val="clear" w:fill="FFFFFF"/>
          <w:lang w:eastAsia="zh-CN"/>
        </w:rPr>
        <w:t>年度无因公出国境计划、安排及支出。</w:t>
      </w:r>
    </w:p>
    <w:p w14:paraId="5BDD719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shd w:val="clear" w:fill="FFFFFF"/>
        </w:rPr>
        <w:t>2. 公务用车购置及运行维护费</w:t>
      </w:r>
      <w:r>
        <w:rPr>
          <w:rFonts w:hint="eastAsia" w:ascii="仿宋_GB2312" w:hAnsi="仿宋_GB2312" w:eastAsia="仿宋_GB2312" w:cs="仿宋_GB2312"/>
          <w:kern w:val="0"/>
          <w:sz w:val="32"/>
          <w:szCs w:val="32"/>
          <w:shd w:val="clear" w:fill="FFFFFF"/>
        </w:rPr>
        <w:t>支出0.00万元。其中：</w:t>
      </w:r>
    </w:p>
    <w:p w14:paraId="4E7FFA87">
      <w:pPr>
        <w:autoSpaceDE w:val="0"/>
        <w:autoSpaceDN w:val="0"/>
        <w:adjustRightInd w:val="0"/>
        <w:spacing w:line="590" w:lineRule="exact"/>
        <w:ind w:left="0" w:firstLine="643" w:firstLineChars="20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b/>
          <w:kern w:val="0"/>
          <w:sz w:val="32"/>
          <w:szCs w:val="32"/>
          <w:shd w:val="clear" w:fill="FFFFFF"/>
        </w:rPr>
        <w:t>公务用车购置</w:t>
      </w:r>
      <w:r>
        <w:rPr>
          <w:rFonts w:hint="eastAsia" w:ascii="仿宋_GB2312" w:hAnsi="仿宋_GB2312" w:eastAsia="仿宋_GB2312" w:cs="仿宋_GB2312"/>
          <w:kern w:val="0"/>
          <w:sz w:val="32"/>
          <w:szCs w:val="32"/>
          <w:shd w:val="clear" w:fill="FFFFFF"/>
        </w:rPr>
        <w:t>支出0.00万元，购置车辆0.00辆。</w:t>
      </w:r>
      <w:r>
        <w:rPr>
          <w:rFonts w:hint="eastAsia" w:ascii="仿宋_GB2312" w:hAnsi="仿宋_GB2312" w:eastAsia="仿宋_GB2312" w:cs="仿宋_GB2312"/>
          <w:kern w:val="0"/>
          <w:sz w:val="32"/>
          <w:szCs w:val="32"/>
          <w:shd w:val="clear" w:fill="FFFFFF"/>
          <w:lang w:eastAsia="zh-CN"/>
        </w:rPr>
        <w:t>我单位</w:t>
      </w:r>
      <w:r>
        <w:rPr>
          <w:rFonts w:hint="eastAsia" w:ascii="仿宋_GB2312" w:hAnsi="仿宋_GB2312" w:eastAsia="仿宋_GB2312" w:cs="仿宋_GB2312"/>
          <w:kern w:val="0"/>
          <w:sz w:val="32"/>
          <w:szCs w:val="32"/>
          <w:shd w:val="clear" w:fill="FFFFFF"/>
          <w:lang w:val="en-US"/>
        </w:rPr>
        <w:t>20</w:t>
      </w:r>
      <w:r>
        <w:rPr>
          <w:rFonts w:hint="eastAsia" w:ascii="仿宋_GB2312" w:hAnsi="仿宋_GB2312" w:eastAsia="仿宋_GB2312" w:cs="仿宋_GB2312"/>
          <w:kern w:val="0"/>
          <w:sz w:val="32"/>
          <w:szCs w:val="32"/>
          <w:shd w:val="clear" w:fill="FFFFFF"/>
          <w:lang w:val="en-US" w:eastAsia="zh-CN"/>
        </w:rPr>
        <w:t>20</w:t>
      </w:r>
      <w:r>
        <w:rPr>
          <w:rFonts w:hint="eastAsia" w:ascii="仿宋_GB2312" w:hAnsi="仿宋_GB2312" w:eastAsia="仿宋_GB2312" w:cs="仿宋_GB2312"/>
          <w:kern w:val="0"/>
          <w:sz w:val="32"/>
          <w:szCs w:val="32"/>
          <w:shd w:val="clear" w:fill="FFFFFF"/>
          <w:lang w:eastAsia="zh-CN"/>
        </w:rPr>
        <w:t>年度未购置公务用车。</w:t>
      </w:r>
    </w:p>
    <w:p w14:paraId="2B13B00D">
      <w:pPr>
        <w:autoSpaceDE w:val="0"/>
        <w:autoSpaceDN w:val="0"/>
        <w:adjustRightInd w:val="0"/>
        <w:spacing w:line="590" w:lineRule="exact"/>
        <w:ind w:left="0"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shd w:val="clear" w:fill="FFFFFF"/>
        </w:rPr>
        <w:t>公务用车运行维护</w:t>
      </w:r>
      <w:r>
        <w:rPr>
          <w:rFonts w:hint="eastAsia" w:ascii="仿宋_GB2312" w:hAnsi="仿宋_GB2312" w:eastAsia="仿宋_GB2312" w:cs="仿宋_GB2312"/>
          <w:kern w:val="0"/>
          <w:sz w:val="32"/>
          <w:szCs w:val="32"/>
          <w:shd w:val="clear" w:fill="FFFFFF"/>
        </w:rPr>
        <w:t>支出0.00万元，开支一般公共预算财政拨款的公务用车保有量为0辆。</w:t>
      </w:r>
      <w:r>
        <w:rPr>
          <w:rFonts w:hint="eastAsia" w:ascii="仿宋_GB2312" w:hAnsi="仿宋_GB2312" w:eastAsia="仿宋_GB2312" w:cs="仿宋_GB2312"/>
          <w:kern w:val="0"/>
          <w:sz w:val="32"/>
          <w:szCs w:val="32"/>
          <w:shd w:val="clear" w:fill="FFFFFF"/>
          <w:lang w:eastAsia="zh-CN"/>
        </w:rPr>
        <w:t>我单位无公务用车，不涉及车辆燃料费、维修费、过路过桥费、保险费等。</w:t>
      </w:r>
    </w:p>
    <w:p w14:paraId="4882AB7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shd w:val="clear" w:fill="FFFFFF"/>
        </w:rPr>
        <w:t>3.公务接待费</w:t>
      </w:r>
      <w:r>
        <w:rPr>
          <w:rFonts w:hint="eastAsia" w:ascii="仿宋_GB2312" w:hAnsi="仿宋_GB2312" w:eastAsia="仿宋_GB2312" w:cs="仿宋_GB2312"/>
          <w:kern w:val="0"/>
          <w:sz w:val="32"/>
          <w:szCs w:val="32"/>
          <w:shd w:val="clear" w:fill="FFFFFF"/>
        </w:rPr>
        <w:t>0.00万元。其中：</w:t>
      </w:r>
    </w:p>
    <w:p w14:paraId="10FA258D">
      <w:pPr>
        <w:autoSpaceDE w:val="0"/>
        <w:autoSpaceDN w:val="0"/>
        <w:adjustRightInd w:val="0"/>
        <w:spacing w:line="590" w:lineRule="exact"/>
        <w:ind w:left="0" w:firstLine="643" w:firstLineChars="20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b/>
          <w:kern w:val="0"/>
          <w:sz w:val="32"/>
          <w:szCs w:val="32"/>
          <w:shd w:val="clear" w:fill="FFFFFF"/>
        </w:rPr>
        <w:t>国内接待费</w:t>
      </w:r>
      <w:r>
        <w:rPr>
          <w:rFonts w:hint="eastAsia" w:ascii="仿宋_GB2312" w:hAnsi="仿宋_GB2312" w:eastAsia="仿宋_GB2312" w:cs="仿宋_GB2312"/>
          <w:kern w:val="0"/>
          <w:sz w:val="32"/>
          <w:szCs w:val="32"/>
          <w:shd w:val="clear" w:fill="FFFFFF"/>
        </w:rPr>
        <w:t>支出0.00万元（其中：外事接待费支出0.00万元），共安排国内公务接待0批次（其中：外事接待0批次），接待人次0人（其中：外事接待人次0人）。</w:t>
      </w:r>
      <w:r>
        <w:rPr>
          <w:rFonts w:hint="eastAsia" w:ascii="仿宋_GB2312" w:hAnsi="仿宋_GB2312" w:eastAsia="仿宋_GB2312" w:cs="仿宋_GB2312"/>
          <w:kern w:val="0"/>
          <w:sz w:val="32"/>
          <w:szCs w:val="32"/>
          <w:shd w:val="clear" w:fill="FFFFFF"/>
          <w:lang w:eastAsia="zh-CN"/>
        </w:rPr>
        <w:t>我单位</w:t>
      </w:r>
      <w:r>
        <w:rPr>
          <w:rFonts w:hint="eastAsia" w:ascii="仿宋_GB2312" w:hAnsi="仿宋_GB2312" w:eastAsia="仿宋_GB2312" w:cs="仿宋_GB2312"/>
          <w:kern w:val="0"/>
          <w:sz w:val="32"/>
          <w:szCs w:val="32"/>
          <w:shd w:val="clear" w:fill="FFFFFF"/>
          <w:lang w:val="en-US"/>
        </w:rPr>
        <w:t>20</w:t>
      </w:r>
      <w:r>
        <w:rPr>
          <w:rFonts w:hint="eastAsia" w:ascii="仿宋_GB2312" w:hAnsi="仿宋_GB2312" w:eastAsia="仿宋_GB2312" w:cs="仿宋_GB2312"/>
          <w:kern w:val="0"/>
          <w:sz w:val="32"/>
          <w:szCs w:val="32"/>
          <w:shd w:val="clear" w:fill="FFFFFF"/>
          <w:lang w:val="en-US" w:eastAsia="zh-CN"/>
        </w:rPr>
        <w:t>20</w:t>
      </w:r>
      <w:r>
        <w:rPr>
          <w:rFonts w:hint="eastAsia" w:ascii="仿宋_GB2312" w:hAnsi="仿宋_GB2312" w:eastAsia="仿宋_GB2312" w:cs="仿宋_GB2312"/>
          <w:kern w:val="0"/>
          <w:sz w:val="32"/>
          <w:szCs w:val="32"/>
          <w:shd w:val="clear" w:fill="FFFFFF"/>
          <w:lang w:eastAsia="zh-CN"/>
        </w:rPr>
        <w:t>年度无国内接待计划、安排及支出。</w:t>
      </w:r>
    </w:p>
    <w:p w14:paraId="4DD5DAB0">
      <w:pPr>
        <w:autoSpaceDE w:val="0"/>
        <w:autoSpaceDN w:val="0"/>
        <w:adjustRightInd w:val="0"/>
        <w:spacing w:line="590" w:lineRule="exact"/>
        <w:ind w:left="0" w:firstLine="643" w:firstLineChars="200"/>
        <w:rPr>
          <w:rFonts w:hint="eastAsia" w:ascii="仿宋_GB2312" w:hAnsi="仿宋_GB2312" w:eastAsia="仿宋_GB2312" w:cs="仿宋_GB2312"/>
          <w:kern w:val="0"/>
          <w:sz w:val="32"/>
          <w:szCs w:val="32"/>
          <w:shd w:val="clear" w:fill="FFFFFF"/>
          <w:lang w:val="en-US" w:eastAsia="zh-CN"/>
        </w:rPr>
      </w:pPr>
      <w:r>
        <w:rPr>
          <w:rFonts w:hint="eastAsia" w:ascii="仿宋_GB2312" w:hAnsi="仿宋_GB2312" w:eastAsia="仿宋_GB2312" w:cs="仿宋_GB2312"/>
          <w:b/>
          <w:kern w:val="0"/>
          <w:sz w:val="32"/>
          <w:szCs w:val="32"/>
          <w:shd w:val="clear" w:fill="FFFFFF"/>
        </w:rPr>
        <w:t>国（境）外接待费</w:t>
      </w:r>
      <w:r>
        <w:rPr>
          <w:rFonts w:hint="eastAsia" w:ascii="仿宋_GB2312" w:hAnsi="仿宋_GB2312" w:eastAsia="仿宋_GB2312" w:cs="仿宋_GB2312"/>
          <w:kern w:val="0"/>
          <w:sz w:val="32"/>
          <w:szCs w:val="32"/>
          <w:shd w:val="clear" w:fill="FFFFFF"/>
        </w:rPr>
        <w:t>0.00万元，共安排国（境）外公务接待0批次，接待人次0人。</w:t>
      </w:r>
      <w:r>
        <w:rPr>
          <w:rFonts w:hint="eastAsia" w:ascii="仿宋_GB2312" w:hAnsi="仿宋_GB2312" w:eastAsia="仿宋_GB2312" w:cs="仿宋_GB2312"/>
          <w:kern w:val="0"/>
          <w:sz w:val="32"/>
          <w:szCs w:val="32"/>
          <w:shd w:val="clear" w:fill="FFFFFF"/>
          <w:lang w:eastAsia="zh-CN"/>
        </w:rPr>
        <w:t>我单位</w:t>
      </w:r>
      <w:r>
        <w:rPr>
          <w:rFonts w:hint="eastAsia" w:ascii="仿宋_GB2312" w:hAnsi="仿宋_GB2312" w:eastAsia="仿宋_GB2312" w:cs="仿宋_GB2312"/>
          <w:kern w:val="0"/>
          <w:sz w:val="32"/>
          <w:szCs w:val="32"/>
          <w:shd w:val="clear" w:fill="FFFFFF"/>
          <w:lang w:val="en-US" w:eastAsia="zh-CN"/>
        </w:rPr>
        <w:t>2020</w:t>
      </w:r>
      <w:r>
        <w:rPr>
          <w:rFonts w:hint="eastAsia" w:ascii="仿宋_GB2312" w:hAnsi="仿宋_GB2312" w:eastAsia="仿宋_GB2312" w:cs="仿宋_GB2312"/>
          <w:kern w:val="0"/>
          <w:sz w:val="32"/>
          <w:szCs w:val="32"/>
          <w:shd w:val="clear" w:fill="FFFFFF"/>
          <w:lang w:eastAsia="zh-CN"/>
        </w:rPr>
        <w:t>年度无国内接待计划、安排及支出。</w:t>
      </w:r>
    </w:p>
    <w:p w14:paraId="1561005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right="0"/>
        <w:jc w:val="left"/>
        <w:textAlignment w:val="auto"/>
        <w:rPr>
          <w:rFonts w:hint="eastAsia" w:ascii="仿宋_GB2312" w:hAnsi="仿宋_GB2312" w:eastAsia="仿宋_GB2312" w:cs="仿宋_GB2312"/>
          <w:kern w:val="0"/>
          <w:sz w:val="32"/>
          <w:szCs w:val="32"/>
        </w:rPr>
      </w:pPr>
    </w:p>
    <w:p w14:paraId="7773FB28">
      <w:pPr>
        <w:pStyle w:val="2"/>
        <w:rPr>
          <w:rFonts w:hint="eastAsia"/>
        </w:rPr>
      </w:pPr>
    </w:p>
    <w:p w14:paraId="2C8A968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center"/>
        <w:textAlignment w:val="auto"/>
        <w:rPr>
          <w:rFonts w:hint="eastAsia" w:ascii="宋体" w:hAnsi="宋体" w:eastAsia="宋体" w:cs="宋体"/>
          <w:kern w:val="0"/>
          <w:sz w:val="32"/>
          <w:szCs w:val="32"/>
        </w:rPr>
      </w:pPr>
      <w:r>
        <w:rPr>
          <w:rFonts w:hint="eastAsia" w:ascii="黑体" w:hAnsi="宋体" w:eastAsia="黑体" w:cs="黑体"/>
          <w:kern w:val="0"/>
          <w:sz w:val="32"/>
          <w:szCs w:val="32"/>
          <w:shd w:val="clear" w:fill="FFFFFF"/>
        </w:rPr>
        <w:t>第四部分  其他重要事项及相关口径情况说明</w:t>
      </w:r>
    </w:p>
    <w:p w14:paraId="2F46161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宋体" w:hAnsi="宋体" w:eastAsia="宋体" w:cs="宋体"/>
          <w:kern w:val="0"/>
          <w:sz w:val="32"/>
          <w:szCs w:val="32"/>
        </w:rPr>
      </w:pPr>
      <w:r>
        <w:rPr>
          <w:rFonts w:hint="eastAsia" w:ascii="黑体" w:hAnsi="宋体" w:eastAsia="黑体" w:cs="黑体"/>
          <w:kern w:val="0"/>
          <w:sz w:val="32"/>
          <w:szCs w:val="32"/>
          <w:shd w:val="clear" w:fill="FFFFFF"/>
        </w:rPr>
        <w:t>一、机关运行经费支出情况</w:t>
      </w:r>
    </w:p>
    <w:p w14:paraId="18ACBFBC">
      <w:pPr>
        <w:autoSpaceDE w:val="0"/>
        <w:autoSpaceDN w:val="0"/>
        <w:adjustRightInd w:val="0"/>
        <w:spacing w:line="590" w:lineRule="exact"/>
        <w:ind w:left="0" w:firstLine="640" w:firstLineChars="200"/>
        <w:jc w:val="left"/>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昆明科技进修学院部门2020年机关运行经费支出0.00万元，</w:t>
      </w:r>
      <w:r>
        <w:rPr>
          <w:rFonts w:hint="eastAsia" w:ascii="仿宋_GB2312" w:hAnsi="仿宋_GB2312" w:eastAsia="仿宋_GB2312" w:cs="仿宋_GB2312"/>
          <w:kern w:val="0"/>
          <w:sz w:val="32"/>
          <w:szCs w:val="32"/>
          <w:shd w:val="clear" w:fill="FFFFFF"/>
          <w:lang w:eastAsia="zh-CN"/>
        </w:rPr>
        <w:t>与上年对比与上年对比无增减变化，主要原因分析：我单位为公益二类事业单位，不涉及机关运行经费</w:t>
      </w:r>
      <w:r>
        <w:rPr>
          <w:rFonts w:hint="eastAsia" w:ascii="仿宋_GB2312" w:hAnsi="仿宋_GB2312" w:eastAsia="仿宋_GB2312" w:cs="仿宋_GB2312"/>
          <w:kern w:val="0"/>
          <w:sz w:val="32"/>
          <w:szCs w:val="32"/>
          <w:shd w:val="clear" w:fill="FFFFFF"/>
        </w:rPr>
        <w:t>。</w:t>
      </w:r>
    </w:p>
    <w:p w14:paraId="0863DEF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宋体" w:hAnsi="宋体" w:eastAsia="宋体" w:cs="宋体"/>
          <w:kern w:val="0"/>
          <w:sz w:val="32"/>
          <w:szCs w:val="32"/>
        </w:rPr>
      </w:pPr>
      <w:r>
        <w:rPr>
          <w:rFonts w:hint="eastAsia" w:ascii="黑体" w:hAnsi="宋体" w:eastAsia="黑体" w:cs="黑体"/>
          <w:kern w:val="0"/>
          <w:sz w:val="32"/>
          <w:szCs w:val="32"/>
          <w:shd w:val="clear" w:fill="FFFFFF"/>
        </w:rPr>
        <w:t>二、</w:t>
      </w:r>
      <w:r>
        <w:rPr>
          <w:rFonts w:hint="eastAsia" w:ascii="黑体" w:hAnsi="宋体" w:eastAsia="黑体" w:cs="黑体"/>
          <w:color w:val="000000"/>
          <w:kern w:val="0"/>
          <w:sz w:val="32"/>
          <w:szCs w:val="32"/>
          <w:shd w:val="clear" w:fill="FFFFFF"/>
        </w:rPr>
        <w:t>国有资产占用情况</w:t>
      </w:r>
    </w:p>
    <w:p w14:paraId="739DF2C2">
      <w:pPr>
        <w:ind w:firstLine="640" w:firstLineChars="20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截至2020年12月31日，昆明科技进修学院部门资产总额</w:t>
      </w:r>
      <w:r>
        <w:rPr>
          <w:rFonts w:hint="eastAsia" w:ascii="仿宋_GB2312" w:hAnsi="Arial" w:eastAsia="仿宋_GB2312" w:cs="Arial"/>
          <w:color w:val="000000"/>
          <w:kern w:val="0"/>
          <w:sz w:val="32"/>
          <w:szCs w:val="32"/>
          <w:lang w:val="en-US" w:eastAsia="zh-CN"/>
        </w:rPr>
        <w:t>142.71</w:t>
      </w:r>
      <w:r>
        <w:rPr>
          <w:rFonts w:hint="eastAsia" w:ascii="仿宋_GB2312" w:hAnsi="仿宋_GB2312" w:eastAsia="仿宋_GB2312" w:cs="仿宋_GB2312"/>
          <w:kern w:val="0"/>
          <w:sz w:val="32"/>
          <w:szCs w:val="32"/>
          <w:shd w:val="clear" w:fill="FFFFFF"/>
        </w:rPr>
        <w:t>万元，其中，流动资产</w:t>
      </w:r>
      <w:r>
        <w:rPr>
          <w:rFonts w:hint="eastAsia" w:ascii="仿宋_GB2312" w:hAnsi="Arial" w:eastAsia="仿宋_GB2312" w:cs="Arial"/>
          <w:color w:val="000000"/>
          <w:kern w:val="0"/>
          <w:sz w:val="32"/>
          <w:szCs w:val="32"/>
          <w:lang w:val="en-US" w:eastAsia="zh-CN"/>
        </w:rPr>
        <w:t>135.15</w:t>
      </w:r>
      <w:r>
        <w:rPr>
          <w:rFonts w:hint="eastAsia" w:ascii="仿宋_GB2312" w:hAnsi="仿宋_GB2312" w:eastAsia="仿宋_GB2312" w:cs="仿宋_GB2312"/>
          <w:kern w:val="0"/>
          <w:sz w:val="32"/>
          <w:szCs w:val="32"/>
          <w:shd w:val="clear" w:fill="FFFFFF"/>
        </w:rPr>
        <w:t>万元，固定资产</w:t>
      </w:r>
      <w:r>
        <w:rPr>
          <w:rFonts w:hint="eastAsia" w:ascii="仿宋_GB2312" w:hAnsi="仿宋_GB2312" w:eastAsia="仿宋_GB2312" w:cs="仿宋_GB2312"/>
          <w:kern w:val="0"/>
          <w:sz w:val="32"/>
          <w:szCs w:val="32"/>
          <w:shd w:val="clear" w:fill="FFFFFF"/>
          <w:lang w:eastAsia="zh-CN"/>
        </w:rPr>
        <w:t>净值</w:t>
      </w:r>
      <w:r>
        <w:rPr>
          <w:rFonts w:hint="eastAsia" w:ascii="仿宋_GB2312" w:hAnsi="仿宋_GB2312" w:eastAsia="仿宋_GB2312" w:cs="仿宋_GB2312"/>
          <w:kern w:val="0"/>
          <w:sz w:val="32"/>
          <w:szCs w:val="32"/>
          <w:shd w:val="clear" w:fill="FFFFFF"/>
          <w:lang w:val="en-US" w:eastAsia="zh-CN"/>
        </w:rPr>
        <w:t>6.86</w:t>
      </w:r>
      <w:r>
        <w:rPr>
          <w:rFonts w:hint="eastAsia" w:ascii="仿宋_GB2312" w:hAnsi="仿宋_GB2312" w:eastAsia="仿宋_GB2312" w:cs="仿宋_GB2312"/>
          <w:color w:val="auto"/>
          <w:kern w:val="0"/>
          <w:sz w:val="32"/>
          <w:szCs w:val="32"/>
          <w:shd w:val="clear" w:fill="FFFFFF"/>
        </w:rPr>
        <w:t>万元</w:t>
      </w:r>
      <w:r>
        <w:rPr>
          <w:rFonts w:hint="eastAsia" w:ascii="仿宋_GB2312" w:hAnsi="仿宋_GB2312" w:eastAsia="仿宋_GB2312" w:cs="仿宋_GB2312"/>
          <w:kern w:val="0"/>
          <w:sz w:val="32"/>
          <w:szCs w:val="32"/>
          <w:shd w:val="clear" w:fill="FFFFFF"/>
        </w:rPr>
        <w:t>，</w:t>
      </w:r>
      <w:r>
        <w:rPr>
          <w:rFonts w:hint="eastAsia" w:ascii="仿宋_GB2312" w:hAnsi="仿宋_GB2312" w:eastAsia="仿宋_GB2312" w:cs="仿宋_GB2312"/>
          <w:color w:val="000000"/>
          <w:kern w:val="0"/>
          <w:sz w:val="32"/>
          <w:szCs w:val="32"/>
          <w:shd w:val="clear" w:fill="FFFFFF"/>
        </w:rPr>
        <w:t>对外投资及有价证券</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万元，在建工程</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万元，无形资产净值</w:t>
      </w:r>
      <w:r>
        <w:rPr>
          <w:rFonts w:hint="eastAsia" w:ascii="仿宋_GB2312" w:hAnsi="仿宋_GB2312" w:eastAsia="仿宋_GB2312" w:cs="仿宋_GB2312"/>
          <w:kern w:val="0"/>
          <w:sz w:val="32"/>
          <w:szCs w:val="32"/>
          <w:shd w:val="clear" w:fill="FFFFFF"/>
          <w:lang w:val="en-US" w:eastAsia="zh-CN"/>
        </w:rPr>
        <w:t>0.70</w:t>
      </w:r>
      <w:r>
        <w:rPr>
          <w:rFonts w:hint="eastAsia" w:ascii="仿宋_GB2312" w:hAnsi="仿宋_GB2312" w:eastAsia="仿宋_GB2312" w:cs="仿宋_GB2312"/>
          <w:kern w:val="0"/>
          <w:sz w:val="32"/>
          <w:szCs w:val="32"/>
          <w:shd w:val="clear" w:fill="FFFFFF"/>
        </w:rPr>
        <w:t>万元，其他资产</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万元（具体内容详见附表）。</w:t>
      </w:r>
    </w:p>
    <w:p w14:paraId="6A5DFCE1">
      <w:pPr>
        <w:ind w:firstLine="640" w:firstLineChars="200"/>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rPr>
        <w:t>与上年相比，本年资产总额减少</w:t>
      </w:r>
      <w:r>
        <w:rPr>
          <w:rFonts w:hint="eastAsia" w:ascii="仿宋_GB2312" w:hAnsi="仿宋_GB2312" w:eastAsia="仿宋_GB2312" w:cs="仿宋_GB2312"/>
          <w:kern w:val="0"/>
          <w:sz w:val="32"/>
          <w:szCs w:val="32"/>
          <w:shd w:val="clear" w:fill="FFFFFF"/>
          <w:lang w:val="en-US" w:eastAsia="zh-CN"/>
        </w:rPr>
        <w:t>3.53</w:t>
      </w:r>
      <w:r>
        <w:rPr>
          <w:rFonts w:hint="eastAsia" w:ascii="仿宋_GB2312" w:hAnsi="仿宋_GB2312" w:eastAsia="仿宋_GB2312" w:cs="仿宋_GB2312"/>
          <w:kern w:val="0"/>
          <w:sz w:val="32"/>
          <w:szCs w:val="32"/>
          <w:shd w:val="clear" w:fill="FFFFFF"/>
        </w:rPr>
        <w:t>万元，其中固定资产</w:t>
      </w:r>
      <w:r>
        <w:rPr>
          <w:rFonts w:hint="eastAsia" w:ascii="仿宋_GB2312" w:hAnsi="仿宋_GB2312" w:eastAsia="仿宋_GB2312" w:cs="仿宋_GB2312"/>
          <w:kern w:val="0"/>
          <w:sz w:val="32"/>
          <w:szCs w:val="32"/>
          <w:shd w:val="clear" w:fill="FFFFFF"/>
          <w:lang w:eastAsia="zh-CN"/>
        </w:rPr>
        <w:t>净值</w:t>
      </w:r>
      <w:r>
        <w:rPr>
          <w:rFonts w:hint="eastAsia" w:ascii="仿宋_GB2312" w:hAnsi="仿宋_GB2312" w:eastAsia="仿宋_GB2312" w:cs="仿宋_GB2312"/>
          <w:kern w:val="0"/>
          <w:sz w:val="32"/>
          <w:szCs w:val="32"/>
          <w:shd w:val="clear" w:fill="FFFFFF"/>
        </w:rPr>
        <w:t>减少</w:t>
      </w:r>
      <w:r>
        <w:rPr>
          <w:rFonts w:hint="eastAsia" w:ascii="仿宋_GB2312" w:hAnsi="仿宋_GB2312" w:eastAsia="仿宋_GB2312" w:cs="仿宋_GB2312"/>
          <w:kern w:val="0"/>
          <w:sz w:val="32"/>
          <w:szCs w:val="32"/>
          <w:shd w:val="clear" w:fill="FFFFFF"/>
          <w:lang w:val="en-US" w:eastAsia="zh-CN"/>
        </w:rPr>
        <w:t>0.84</w:t>
      </w:r>
      <w:r>
        <w:rPr>
          <w:rFonts w:hint="eastAsia" w:ascii="仿宋_GB2312" w:hAnsi="仿宋_GB2312" w:eastAsia="仿宋_GB2312" w:cs="仿宋_GB2312"/>
          <w:kern w:val="0"/>
          <w:sz w:val="32"/>
          <w:szCs w:val="32"/>
          <w:shd w:val="clear" w:fill="FFFFFF"/>
        </w:rPr>
        <w:t>万元。处置房屋建筑物</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平方米，账面原值</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万元；处置车辆</w:t>
      </w:r>
      <w:r>
        <w:rPr>
          <w:rFonts w:hint="eastAsia" w:ascii="仿宋_GB2312" w:hAnsi="仿宋_GB2312" w:eastAsia="仿宋_GB2312" w:cs="仿宋_GB2312"/>
          <w:kern w:val="0"/>
          <w:sz w:val="32"/>
          <w:szCs w:val="32"/>
          <w:shd w:val="clear" w:fill="FFFFFF"/>
          <w:lang w:val="en-US" w:eastAsia="zh-CN"/>
        </w:rPr>
        <w:t>0</w:t>
      </w:r>
      <w:r>
        <w:rPr>
          <w:rFonts w:hint="eastAsia" w:ascii="仿宋_GB2312" w:hAnsi="仿宋_GB2312" w:eastAsia="仿宋_GB2312" w:cs="仿宋_GB2312"/>
          <w:kern w:val="0"/>
          <w:sz w:val="32"/>
          <w:szCs w:val="32"/>
          <w:shd w:val="clear" w:fill="FFFFFF"/>
        </w:rPr>
        <w:t>辆，账面原值</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万元；报废报损资产</w:t>
      </w:r>
      <w:r>
        <w:rPr>
          <w:rFonts w:hint="eastAsia" w:ascii="仿宋_GB2312" w:hAnsi="仿宋_GB2312" w:eastAsia="仿宋_GB2312" w:cs="仿宋_GB2312"/>
          <w:kern w:val="0"/>
          <w:sz w:val="32"/>
          <w:szCs w:val="32"/>
          <w:shd w:val="clear" w:fill="FFFFFF"/>
          <w:lang w:val="en-US" w:eastAsia="zh-CN"/>
        </w:rPr>
        <w:t>0</w:t>
      </w:r>
      <w:r>
        <w:rPr>
          <w:rFonts w:hint="eastAsia" w:ascii="仿宋_GB2312" w:hAnsi="仿宋_GB2312" w:eastAsia="仿宋_GB2312" w:cs="仿宋_GB2312"/>
          <w:kern w:val="0"/>
          <w:sz w:val="32"/>
          <w:szCs w:val="32"/>
          <w:shd w:val="clear" w:fill="FFFFFF"/>
        </w:rPr>
        <w:t>项，账面原值</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万元，实现资产处置收入</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万元；出租房屋</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平方米，账面原值</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万元，实现资产使用收入</w:t>
      </w:r>
      <w:r>
        <w:rPr>
          <w:rFonts w:hint="eastAsia" w:ascii="仿宋_GB2312" w:hAnsi="仿宋_GB2312" w:eastAsia="仿宋_GB2312" w:cs="仿宋_GB2312"/>
          <w:kern w:val="0"/>
          <w:sz w:val="32"/>
          <w:szCs w:val="32"/>
          <w:shd w:val="clear" w:fill="FFFFFF"/>
          <w:lang w:val="en-US" w:eastAsia="zh-CN"/>
        </w:rPr>
        <w:t>0.00</w:t>
      </w:r>
      <w:r>
        <w:rPr>
          <w:rFonts w:hint="eastAsia" w:ascii="仿宋_GB2312" w:hAnsi="仿宋_GB2312" w:eastAsia="仿宋_GB2312" w:cs="仿宋_GB2312"/>
          <w:kern w:val="0"/>
          <w:sz w:val="32"/>
          <w:szCs w:val="32"/>
          <w:shd w:val="clear" w:fill="FFFFFF"/>
        </w:rPr>
        <w:t>万元。</w:t>
      </w:r>
    </w:p>
    <w:p w14:paraId="287553A2">
      <w:pPr>
        <w:pStyle w:val="2"/>
        <w:ind w:left="0" w:leftChars="0" w:firstLine="0" w:firstLineChars="0"/>
        <w:rPr>
          <w:rFonts w:hint="eastAsia" w:ascii="仿宋_GB2312" w:hAnsi="仿宋_GB2312" w:eastAsia="仿宋_GB2312" w:cs="仿宋_GB2312"/>
          <w:kern w:val="0"/>
          <w:sz w:val="32"/>
          <w:szCs w:val="32"/>
          <w:shd w:val="clear" w:fill="FFFFFF"/>
        </w:rPr>
      </w:pPr>
    </w:p>
    <w:p w14:paraId="10A62186">
      <w:pPr>
        <w:keepNext w:val="0"/>
        <w:keepLines w:val="0"/>
        <w:widowControl/>
        <w:suppressLineNumbers w:val="0"/>
        <w:autoSpaceDE w:val="0"/>
        <w:autoSpaceDN w:val="0"/>
        <w:spacing w:before="0" w:beforeAutospacing="0" w:after="0" w:afterAutospacing="0"/>
        <w:ind w:left="0" w:right="0" w:firstLine="60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rPr>
        <w:t xml:space="preserve"> </w:t>
      </w:r>
    </w:p>
    <w:tbl>
      <w:tblPr>
        <w:tblStyle w:val="3"/>
        <w:tblW w:w="8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90"/>
        <w:gridCol w:w="495"/>
        <w:gridCol w:w="855"/>
        <w:gridCol w:w="855"/>
        <w:gridCol w:w="720"/>
        <w:gridCol w:w="675"/>
        <w:gridCol w:w="360"/>
        <w:gridCol w:w="1065"/>
        <w:gridCol w:w="797"/>
        <w:gridCol w:w="643"/>
        <w:gridCol w:w="643"/>
        <w:gridCol w:w="643"/>
        <w:gridCol w:w="646"/>
      </w:tblGrid>
      <w:tr w14:paraId="0328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0" w:hRule="atLeast"/>
          <w:jc w:val="center"/>
        </w:trPr>
        <w:tc>
          <w:tcPr>
            <w:tcW w:w="8887" w:type="dxa"/>
            <w:gridSpan w:val="13"/>
            <w:shd w:val="clear" w:color="auto" w:fill="FFFFFF"/>
            <w:tcMar>
              <w:left w:w="108" w:type="dxa"/>
              <w:right w:w="108" w:type="dxa"/>
            </w:tcMar>
            <w:vAlign w:val="center"/>
          </w:tcPr>
          <w:p w14:paraId="228A9AA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仿宋_GB2312" w:hAnsi="宋体" w:eastAsia="仿宋_GB2312" w:cs="仿宋_GB2312"/>
                <w:b/>
                <w:color w:val="000000"/>
                <w:kern w:val="0"/>
                <w:sz w:val="30"/>
                <w:szCs w:val="30"/>
              </w:rPr>
              <w:t>国有资产占有使用情况表</w:t>
            </w:r>
          </w:p>
        </w:tc>
      </w:tr>
      <w:tr w14:paraId="175E0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515" w:type="dxa"/>
            <w:gridSpan w:val="8"/>
            <w:shd w:val="clear" w:color="auto" w:fill="FFFFFF"/>
            <w:tcMar>
              <w:left w:w="108" w:type="dxa"/>
              <w:right w:w="108" w:type="dxa"/>
            </w:tcMar>
            <w:vAlign w:val="center"/>
          </w:tcPr>
          <w:p w14:paraId="53ACC1B9">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797" w:type="dxa"/>
            <w:shd w:val="clear" w:color="auto" w:fill="FFFFFF"/>
            <w:tcMar>
              <w:left w:w="108" w:type="dxa"/>
              <w:right w:w="108" w:type="dxa"/>
            </w:tcMar>
            <w:vAlign w:val="center"/>
          </w:tcPr>
          <w:p w14:paraId="084969AF">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2575" w:type="dxa"/>
            <w:gridSpan w:val="4"/>
            <w:shd w:val="clear" w:color="auto" w:fill="FFFFFF"/>
            <w:tcMar>
              <w:left w:w="108" w:type="dxa"/>
              <w:right w:w="108" w:type="dxa"/>
            </w:tcMar>
            <w:vAlign w:val="center"/>
          </w:tcPr>
          <w:p w14:paraId="033E1050">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单位：万元</w:t>
            </w:r>
          </w:p>
        </w:tc>
      </w:tr>
      <w:tr w14:paraId="5CA4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0" w:type="dxa"/>
            <w:vMerge w:val="restart"/>
            <w:shd w:val="clear" w:color="auto" w:fill="auto"/>
            <w:tcMar>
              <w:left w:w="108" w:type="dxa"/>
              <w:right w:w="108" w:type="dxa"/>
            </w:tcMar>
            <w:vAlign w:val="center"/>
          </w:tcPr>
          <w:p w14:paraId="6692E5F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项目</w:t>
            </w:r>
          </w:p>
        </w:tc>
        <w:tc>
          <w:tcPr>
            <w:tcW w:w="495" w:type="dxa"/>
            <w:vMerge w:val="restart"/>
            <w:shd w:val="clear" w:color="auto" w:fill="auto"/>
            <w:tcMar>
              <w:left w:w="108" w:type="dxa"/>
              <w:right w:w="108" w:type="dxa"/>
            </w:tcMar>
            <w:vAlign w:val="center"/>
          </w:tcPr>
          <w:p w14:paraId="336F8F2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行次</w:t>
            </w:r>
          </w:p>
        </w:tc>
        <w:tc>
          <w:tcPr>
            <w:tcW w:w="855" w:type="dxa"/>
            <w:vMerge w:val="restart"/>
            <w:shd w:val="clear" w:color="auto" w:fill="auto"/>
            <w:tcMar>
              <w:left w:w="108" w:type="dxa"/>
              <w:right w:w="108" w:type="dxa"/>
            </w:tcMar>
            <w:vAlign w:val="center"/>
          </w:tcPr>
          <w:p w14:paraId="794F3BF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资产总额</w:t>
            </w:r>
          </w:p>
        </w:tc>
        <w:tc>
          <w:tcPr>
            <w:tcW w:w="855" w:type="dxa"/>
            <w:vMerge w:val="restart"/>
            <w:shd w:val="clear" w:color="auto" w:fill="auto"/>
            <w:tcMar>
              <w:left w:w="108" w:type="dxa"/>
              <w:right w:w="108" w:type="dxa"/>
            </w:tcMar>
            <w:vAlign w:val="center"/>
          </w:tcPr>
          <w:p w14:paraId="0A81ABA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流动资产</w:t>
            </w:r>
          </w:p>
        </w:tc>
        <w:tc>
          <w:tcPr>
            <w:tcW w:w="3617" w:type="dxa"/>
            <w:gridSpan w:val="5"/>
            <w:shd w:val="clear" w:color="auto" w:fill="auto"/>
            <w:tcMar>
              <w:left w:w="108" w:type="dxa"/>
              <w:right w:w="108" w:type="dxa"/>
            </w:tcMar>
            <w:vAlign w:val="center"/>
          </w:tcPr>
          <w:p w14:paraId="0C82DF4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固定资产</w:t>
            </w:r>
          </w:p>
        </w:tc>
        <w:tc>
          <w:tcPr>
            <w:tcW w:w="643" w:type="dxa"/>
            <w:vMerge w:val="restart"/>
            <w:shd w:val="clear" w:color="auto" w:fill="auto"/>
            <w:tcMar>
              <w:left w:w="108" w:type="dxa"/>
              <w:right w:w="108" w:type="dxa"/>
            </w:tcMar>
            <w:vAlign w:val="center"/>
          </w:tcPr>
          <w:p w14:paraId="33CF16F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对外投资/有价证券</w:t>
            </w:r>
          </w:p>
        </w:tc>
        <w:tc>
          <w:tcPr>
            <w:tcW w:w="643" w:type="dxa"/>
            <w:vMerge w:val="restart"/>
            <w:shd w:val="clear" w:color="auto" w:fill="auto"/>
            <w:tcMar>
              <w:left w:w="108" w:type="dxa"/>
              <w:right w:w="108" w:type="dxa"/>
            </w:tcMar>
            <w:vAlign w:val="center"/>
          </w:tcPr>
          <w:p w14:paraId="1AF2AC4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在建工程</w:t>
            </w:r>
          </w:p>
        </w:tc>
        <w:tc>
          <w:tcPr>
            <w:tcW w:w="643" w:type="dxa"/>
            <w:vMerge w:val="restart"/>
            <w:shd w:val="clear" w:color="auto" w:fill="auto"/>
            <w:tcMar>
              <w:left w:w="108" w:type="dxa"/>
              <w:right w:w="108" w:type="dxa"/>
            </w:tcMar>
            <w:vAlign w:val="center"/>
          </w:tcPr>
          <w:p w14:paraId="5047008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无形资产</w:t>
            </w:r>
          </w:p>
        </w:tc>
        <w:tc>
          <w:tcPr>
            <w:tcW w:w="646" w:type="dxa"/>
            <w:vMerge w:val="restart"/>
            <w:shd w:val="clear" w:color="auto" w:fill="auto"/>
            <w:tcMar>
              <w:left w:w="108" w:type="dxa"/>
              <w:right w:w="108" w:type="dxa"/>
            </w:tcMar>
            <w:vAlign w:val="center"/>
          </w:tcPr>
          <w:p w14:paraId="02A3201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其他资产</w:t>
            </w:r>
          </w:p>
        </w:tc>
      </w:tr>
      <w:tr w14:paraId="7D988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0" w:hRule="atLeast"/>
          <w:jc w:val="center"/>
        </w:trPr>
        <w:tc>
          <w:tcPr>
            <w:tcW w:w="490" w:type="dxa"/>
            <w:vMerge w:val="continue"/>
            <w:shd w:val="clear" w:color="auto" w:fill="auto"/>
            <w:tcMar>
              <w:left w:w="108" w:type="dxa"/>
              <w:right w:w="108" w:type="dxa"/>
            </w:tcMar>
            <w:vAlign w:val="center"/>
          </w:tcPr>
          <w:p w14:paraId="64CDB93F">
            <w:pPr>
              <w:rPr>
                <w:rFonts w:hint="default" w:ascii="Times New Roman" w:hAnsi="Times New Roman" w:cs="Times New Roman"/>
                <w:sz w:val="20"/>
                <w:szCs w:val="20"/>
              </w:rPr>
            </w:pPr>
          </w:p>
        </w:tc>
        <w:tc>
          <w:tcPr>
            <w:tcW w:w="495" w:type="dxa"/>
            <w:vMerge w:val="continue"/>
            <w:shd w:val="clear" w:color="auto" w:fill="auto"/>
            <w:tcMar>
              <w:left w:w="108" w:type="dxa"/>
              <w:right w:w="108" w:type="dxa"/>
            </w:tcMar>
            <w:vAlign w:val="center"/>
          </w:tcPr>
          <w:p w14:paraId="4AB52779">
            <w:pPr>
              <w:rPr>
                <w:rFonts w:hint="default" w:ascii="Times New Roman" w:hAnsi="Times New Roman" w:cs="Times New Roman"/>
                <w:sz w:val="20"/>
                <w:szCs w:val="20"/>
              </w:rPr>
            </w:pPr>
          </w:p>
        </w:tc>
        <w:tc>
          <w:tcPr>
            <w:tcW w:w="855" w:type="dxa"/>
            <w:vMerge w:val="continue"/>
            <w:shd w:val="clear" w:color="auto" w:fill="auto"/>
            <w:tcMar>
              <w:left w:w="108" w:type="dxa"/>
              <w:right w:w="108" w:type="dxa"/>
            </w:tcMar>
            <w:vAlign w:val="center"/>
          </w:tcPr>
          <w:p w14:paraId="4F61B1C3">
            <w:pPr>
              <w:rPr>
                <w:rFonts w:hint="default" w:ascii="Times New Roman" w:hAnsi="Times New Roman" w:cs="Times New Roman"/>
                <w:sz w:val="20"/>
                <w:szCs w:val="20"/>
              </w:rPr>
            </w:pPr>
          </w:p>
        </w:tc>
        <w:tc>
          <w:tcPr>
            <w:tcW w:w="855" w:type="dxa"/>
            <w:vMerge w:val="continue"/>
            <w:shd w:val="clear" w:color="auto" w:fill="auto"/>
            <w:tcMar>
              <w:left w:w="108" w:type="dxa"/>
              <w:right w:w="108" w:type="dxa"/>
            </w:tcMar>
            <w:vAlign w:val="center"/>
          </w:tcPr>
          <w:p w14:paraId="5229E1C3">
            <w:pPr>
              <w:rPr>
                <w:rFonts w:hint="default" w:ascii="Times New Roman" w:hAnsi="Times New Roman" w:cs="Times New Roman"/>
                <w:sz w:val="20"/>
                <w:szCs w:val="20"/>
              </w:rPr>
            </w:pPr>
          </w:p>
        </w:tc>
        <w:tc>
          <w:tcPr>
            <w:tcW w:w="720" w:type="dxa"/>
            <w:vMerge w:val="restart"/>
            <w:shd w:val="clear" w:color="auto" w:fill="auto"/>
            <w:tcMar>
              <w:left w:w="108" w:type="dxa"/>
              <w:right w:w="108" w:type="dxa"/>
            </w:tcMar>
            <w:vAlign w:val="center"/>
          </w:tcPr>
          <w:p w14:paraId="536B985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小计</w:t>
            </w:r>
          </w:p>
        </w:tc>
        <w:tc>
          <w:tcPr>
            <w:tcW w:w="675" w:type="dxa"/>
            <w:vMerge w:val="restart"/>
            <w:shd w:val="clear" w:color="auto" w:fill="auto"/>
            <w:tcMar>
              <w:left w:w="108" w:type="dxa"/>
              <w:right w:w="108" w:type="dxa"/>
            </w:tcMar>
            <w:vAlign w:val="center"/>
          </w:tcPr>
          <w:p w14:paraId="3240A9D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房屋构筑物</w:t>
            </w:r>
          </w:p>
        </w:tc>
        <w:tc>
          <w:tcPr>
            <w:tcW w:w="360" w:type="dxa"/>
            <w:vMerge w:val="restart"/>
            <w:shd w:val="clear" w:color="auto" w:fill="auto"/>
            <w:tcMar>
              <w:left w:w="108" w:type="dxa"/>
              <w:right w:w="108" w:type="dxa"/>
            </w:tcMar>
            <w:vAlign w:val="center"/>
          </w:tcPr>
          <w:p w14:paraId="57031F9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车辆</w:t>
            </w:r>
          </w:p>
        </w:tc>
        <w:tc>
          <w:tcPr>
            <w:tcW w:w="1065" w:type="dxa"/>
            <w:vMerge w:val="restart"/>
            <w:shd w:val="clear" w:color="auto" w:fill="auto"/>
            <w:tcMar>
              <w:left w:w="108" w:type="dxa"/>
              <w:right w:w="108" w:type="dxa"/>
            </w:tcMar>
            <w:vAlign w:val="center"/>
          </w:tcPr>
          <w:p w14:paraId="720342E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单价200万以上大型设备</w:t>
            </w:r>
          </w:p>
        </w:tc>
        <w:tc>
          <w:tcPr>
            <w:tcW w:w="797" w:type="dxa"/>
            <w:vMerge w:val="restart"/>
            <w:shd w:val="clear" w:color="auto" w:fill="auto"/>
            <w:tcMar>
              <w:left w:w="108" w:type="dxa"/>
              <w:right w:w="108" w:type="dxa"/>
            </w:tcMar>
            <w:vAlign w:val="center"/>
          </w:tcPr>
          <w:p w14:paraId="6B51968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其他固定资产</w:t>
            </w:r>
          </w:p>
        </w:tc>
        <w:tc>
          <w:tcPr>
            <w:tcW w:w="643" w:type="dxa"/>
            <w:shd w:val="clear" w:color="auto" w:fill="auto"/>
            <w:tcMar>
              <w:left w:w="108" w:type="dxa"/>
              <w:right w:w="108" w:type="dxa"/>
            </w:tcMar>
            <w:vAlign w:val="center"/>
          </w:tcPr>
          <w:p w14:paraId="30D0A4B0">
            <w:pPr>
              <w:rPr>
                <w:rFonts w:hint="default" w:ascii="Times New Roman" w:hAnsi="Times New Roman" w:cs="Times New Roman"/>
                <w:sz w:val="20"/>
                <w:szCs w:val="20"/>
              </w:rPr>
            </w:pPr>
          </w:p>
        </w:tc>
        <w:tc>
          <w:tcPr>
            <w:tcW w:w="643" w:type="dxa"/>
            <w:shd w:val="clear" w:color="auto" w:fill="auto"/>
            <w:tcMar>
              <w:left w:w="108" w:type="dxa"/>
              <w:right w:w="108" w:type="dxa"/>
            </w:tcMar>
            <w:vAlign w:val="center"/>
          </w:tcPr>
          <w:p w14:paraId="500C0605">
            <w:pPr>
              <w:rPr>
                <w:rFonts w:hint="default" w:ascii="Times New Roman" w:hAnsi="Times New Roman" w:cs="Times New Roman"/>
                <w:sz w:val="20"/>
                <w:szCs w:val="20"/>
              </w:rPr>
            </w:pPr>
          </w:p>
        </w:tc>
        <w:tc>
          <w:tcPr>
            <w:tcW w:w="643" w:type="dxa"/>
            <w:shd w:val="clear" w:color="auto" w:fill="auto"/>
            <w:tcMar>
              <w:left w:w="108" w:type="dxa"/>
              <w:right w:w="108" w:type="dxa"/>
            </w:tcMar>
            <w:vAlign w:val="center"/>
          </w:tcPr>
          <w:p w14:paraId="4D6C3B60">
            <w:pPr>
              <w:rPr>
                <w:rFonts w:hint="default" w:ascii="Times New Roman" w:hAnsi="Times New Roman" w:cs="Times New Roman"/>
                <w:sz w:val="20"/>
                <w:szCs w:val="20"/>
              </w:rPr>
            </w:pPr>
          </w:p>
        </w:tc>
        <w:tc>
          <w:tcPr>
            <w:tcW w:w="646" w:type="dxa"/>
            <w:shd w:val="clear" w:color="auto" w:fill="auto"/>
            <w:tcMar>
              <w:left w:w="108" w:type="dxa"/>
              <w:right w:w="108" w:type="dxa"/>
            </w:tcMar>
            <w:vAlign w:val="center"/>
          </w:tcPr>
          <w:p w14:paraId="3D36ABB8">
            <w:pPr>
              <w:rPr>
                <w:rFonts w:hint="default" w:ascii="Times New Roman" w:hAnsi="Times New Roman" w:cs="Times New Roman"/>
                <w:sz w:val="20"/>
                <w:szCs w:val="20"/>
              </w:rPr>
            </w:pPr>
          </w:p>
        </w:tc>
      </w:tr>
      <w:tr w14:paraId="04380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28" w:hRule="atLeast"/>
          <w:jc w:val="center"/>
        </w:trPr>
        <w:tc>
          <w:tcPr>
            <w:tcW w:w="490" w:type="dxa"/>
            <w:vMerge w:val="continue"/>
            <w:shd w:val="clear" w:color="auto" w:fill="auto"/>
            <w:tcMar>
              <w:left w:w="108" w:type="dxa"/>
              <w:right w:w="108" w:type="dxa"/>
            </w:tcMar>
            <w:vAlign w:val="center"/>
          </w:tcPr>
          <w:p w14:paraId="1A771E4F">
            <w:pPr>
              <w:rPr>
                <w:rFonts w:hint="default" w:ascii="Times New Roman" w:hAnsi="Times New Roman" w:cs="Times New Roman"/>
                <w:sz w:val="20"/>
                <w:szCs w:val="20"/>
              </w:rPr>
            </w:pPr>
          </w:p>
        </w:tc>
        <w:tc>
          <w:tcPr>
            <w:tcW w:w="495" w:type="dxa"/>
            <w:vMerge w:val="continue"/>
            <w:shd w:val="clear" w:color="auto" w:fill="auto"/>
            <w:tcMar>
              <w:left w:w="108" w:type="dxa"/>
              <w:right w:w="108" w:type="dxa"/>
            </w:tcMar>
            <w:vAlign w:val="center"/>
          </w:tcPr>
          <w:p w14:paraId="7C8D02AC">
            <w:pPr>
              <w:rPr>
                <w:rFonts w:hint="default" w:ascii="Times New Roman" w:hAnsi="Times New Roman" w:cs="Times New Roman"/>
                <w:sz w:val="20"/>
                <w:szCs w:val="20"/>
              </w:rPr>
            </w:pPr>
          </w:p>
        </w:tc>
        <w:tc>
          <w:tcPr>
            <w:tcW w:w="855" w:type="dxa"/>
            <w:vMerge w:val="continue"/>
            <w:shd w:val="clear" w:color="auto" w:fill="auto"/>
            <w:tcMar>
              <w:left w:w="108" w:type="dxa"/>
              <w:right w:w="108" w:type="dxa"/>
            </w:tcMar>
            <w:vAlign w:val="center"/>
          </w:tcPr>
          <w:p w14:paraId="721827CB">
            <w:pPr>
              <w:rPr>
                <w:rFonts w:hint="default" w:ascii="Times New Roman" w:hAnsi="Times New Roman" w:cs="Times New Roman"/>
                <w:sz w:val="20"/>
                <w:szCs w:val="20"/>
              </w:rPr>
            </w:pPr>
          </w:p>
        </w:tc>
        <w:tc>
          <w:tcPr>
            <w:tcW w:w="855" w:type="dxa"/>
            <w:vMerge w:val="continue"/>
            <w:shd w:val="clear" w:color="auto" w:fill="auto"/>
            <w:tcMar>
              <w:left w:w="108" w:type="dxa"/>
              <w:right w:w="108" w:type="dxa"/>
            </w:tcMar>
            <w:vAlign w:val="center"/>
          </w:tcPr>
          <w:p w14:paraId="68FD7C33">
            <w:pPr>
              <w:rPr>
                <w:rFonts w:hint="default" w:ascii="Times New Roman" w:hAnsi="Times New Roman" w:cs="Times New Roman"/>
                <w:sz w:val="20"/>
                <w:szCs w:val="20"/>
              </w:rPr>
            </w:pPr>
          </w:p>
        </w:tc>
        <w:tc>
          <w:tcPr>
            <w:tcW w:w="720" w:type="dxa"/>
            <w:vMerge w:val="continue"/>
            <w:shd w:val="clear" w:color="auto" w:fill="auto"/>
            <w:tcMar>
              <w:left w:w="108" w:type="dxa"/>
              <w:right w:w="108" w:type="dxa"/>
            </w:tcMar>
            <w:vAlign w:val="center"/>
          </w:tcPr>
          <w:p w14:paraId="63F18C21">
            <w:pPr>
              <w:rPr>
                <w:rFonts w:hint="default" w:ascii="Times New Roman" w:hAnsi="Times New Roman" w:cs="Times New Roman"/>
                <w:sz w:val="20"/>
                <w:szCs w:val="20"/>
              </w:rPr>
            </w:pPr>
          </w:p>
        </w:tc>
        <w:tc>
          <w:tcPr>
            <w:tcW w:w="675" w:type="dxa"/>
            <w:vMerge w:val="continue"/>
            <w:shd w:val="clear" w:color="auto" w:fill="auto"/>
            <w:tcMar>
              <w:left w:w="108" w:type="dxa"/>
              <w:right w:w="108" w:type="dxa"/>
            </w:tcMar>
            <w:vAlign w:val="center"/>
          </w:tcPr>
          <w:p w14:paraId="569A0FE5">
            <w:pPr>
              <w:rPr>
                <w:rFonts w:hint="default" w:ascii="Times New Roman" w:hAnsi="Times New Roman" w:cs="Times New Roman"/>
                <w:sz w:val="20"/>
                <w:szCs w:val="20"/>
              </w:rPr>
            </w:pPr>
          </w:p>
        </w:tc>
        <w:tc>
          <w:tcPr>
            <w:tcW w:w="360" w:type="dxa"/>
            <w:vMerge w:val="continue"/>
            <w:shd w:val="clear" w:color="auto" w:fill="auto"/>
            <w:tcMar>
              <w:left w:w="108" w:type="dxa"/>
              <w:right w:w="108" w:type="dxa"/>
            </w:tcMar>
            <w:vAlign w:val="center"/>
          </w:tcPr>
          <w:p w14:paraId="0D89EBAB">
            <w:pPr>
              <w:rPr>
                <w:rFonts w:hint="default" w:ascii="Times New Roman" w:hAnsi="Times New Roman" w:cs="Times New Roman"/>
                <w:sz w:val="20"/>
                <w:szCs w:val="20"/>
              </w:rPr>
            </w:pPr>
          </w:p>
        </w:tc>
        <w:tc>
          <w:tcPr>
            <w:tcW w:w="1065" w:type="dxa"/>
            <w:vMerge w:val="continue"/>
            <w:shd w:val="clear" w:color="auto" w:fill="auto"/>
            <w:tcMar>
              <w:left w:w="108" w:type="dxa"/>
              <w:right w:w="108" w:type="dxa"/>
            </w:tcMar>
            <w:vAlign w:val="center"/>
          </w:tcPr>
          <w:p w14:paraId="0A3CBC7F">
            <w:pPr>
              <w:rPr>
                <w:rFonts w:hint="default" w:ascii="Times New Roman" w:hAnsi="Times New Roman" w:cs="Times New Roman"/>
                <w:sz w:val="20"/>
                <w:szCs w:val="20"/>
              </w:rPr>
            </w:pPr>
          </w:p>
        </w:tc>
        <w:tc>
          <w:tcPr>
            <w:tcW w:w="797" w:type="dxa"/>
            <w:vMerge w:val="continue"/>
            <w:shd w:val="clear" w:color="auto" w:fill="auto"/>
            <w:tcMar>
              <w:left w:w="108" w:type="dxa"/>
              <w:right w:w="108" w:type="dxa"/>
            </w:tcMar>
            <w:vAlign w:val="center"/>
          </w:tcPr>
          <w:p w14:paraId="1284BB03">
            <w:pPr>
              <w:rPr>
                <w:rFonts w:hint="default" w:ascii="Times New Roman" w:hAnsi="Times New Roman" w:cs="Times New Roman"/>
                <w:sz w:val="20"/>
                <w:szCs w:val="20"/>
              </w:rPr>
            </w:pPr>
          </w:p>
        </w:tc>
        <w:tc>
          <w:tcPr>
            <w:tcW w:w="643" w:type="dxa"/>
            <w:shd w:val="clear" w:color="auto" w:fill="auto"/>
            <w:tcMar>
              <w:left w:w="108" w:type="dxa"/>
              <w:right w:w="108" w:type="dxa"/>
            </w:tcMar>
            <w:vAlign w:val="center"/>
          </w:tcPr>
          <w:p w14:paraId="5065894F">
            <w:pPr>
              <w:rPr>
                <w:rFonts w:hint="default" w:ascii="Times New Roman" w:hAnsi="Times New Roman" w:cs="Times New Roman"/>
                <w:sz w:val="20"/>
                <w:szCs w:val="20"/>
              </w:rPr>
            </w:pPr>
          </w:p>
        </w:tc>
        <w:tc>
          <w:tcPr>
            <w:tcW w:w="643" w:type="dxa"/>
            <w:shd w:val="clear" w:color="auto" w:fill="auto"/>
            <w:tcMar>
              <w:left w:w="108" w:type="dxa"/>
              <w:right w:w="108" w:type="dxa"/>
            </w:tcMar>
            <w:vAlign w:val="center"/>
          </w:tcPr>
          <w:p w14:paraId="4F8B7937">
            <w:pPr>
              <w:rPr>
                <w:rFonts w:hint="default" w:ascii="Times New Roman" w:hAnsi="Times New Roman" w:cs="Times New Roman"/>
                <w:sz w:val="20"/>
                <w:szCs w:val="20"/>
              </w:rPr>
            </w:pPr>
          </w:p>
        </w:tc>
        <w:tc>
          <w:tcPr>
            <w:tcW w:w="643" w:type="dxa"/>
            <w:shd w:val="clear" w:color="auto" w:fill="auto"/>
            <w:tcMar>
              <w:left w:w="108" w:type="dxa"/>
              <w:right w:w="108" w:type="dxa"/>
            </w:tcMar>
            <w:vAlign w:val="center"/>
          </w:tcPr>
          <w:p w14:paraId="6E136012">
            <w:pPr>
              <w:rPr>
                <w:rFonts w:hint="default" w:ascii="Times New Roman" w:hAnsi="Times New Roman" w:cs="Times New Roman"/>
                <w:sz w:val="20"/>
                <w:szCs w:val="20"/>
              </w:rPr>
            </w:pPr>
          </w:p>
        </w:tc>
        <w:tc>
          <w:tcPr>
            <w:tcW w:w="646" w:type="dxa"/>
            <w:shd w:val="clear" w:color="auto" w:fill="auto"/>
            <w:tcMar>
              <w:left w:w="108" w:type="dxa"/>
              <w:right w:w="108" w:type="dxa"/>
            </w:tcMar>
            <w:vAlign w:val="center"/>
          </w:tcPr>
          <w:p w14:paraId="4F39CA2B">
            <w:pPr>
              <w:rPr>
                <w:rFonts w:hint="default" w:ascii="Times New Roman" w:hAnsi="Times New Roman" w:cs="Times New Roman"/>
                <w:sz w:val="20"/>
                <w:szCs w:val="20"/>
              </w:rPr>
            </w:pPr>
          </w:p>
        </w:tc>
      </w:tr>
      <w:tr w14:paraId="716C8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90" w:type="dxa"/>
            <w:shd w:val="clear" w:color="auto" w:fill="auto"/>
            <w:tcMar>
              <w:left w:w="108" w:type="dxa"/>
              <w:right w:w="108" w:type="dxa"/>
            </w:tcMar>
            <w:vAlign w:val="center"/>
          </w:tcPr>
          <w:p w14:paraId="78BD4E8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栏次</w:t>
            </w:r>
          </w:p>
        </w:tc>
        <w:tc>
          <w:tcPr>
            <w:tcW w:w="495" w:type="dxa"/>
            <w:shd w:val="clear" w:color="auto" w:fill="auto"/>
            <w:tcMar>
              <w:left w:w="108" w:type="dxa"/>
              <w:right w:w="108" w:type="dxa"/>
            </w:tcMar>
            <w:vAlign w:val="center"/>
          </w:tcPr>
          <w:p w14:paraId="62E733FD">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855" w:type="dxa"/>
            <w:shd w:val="clear" w:color="auto" w:fill="auto"/>
            <w:tcMar>
              <w:left w:w="108" w:type="dxa"/>
              <w:right w:w="108" w:type="dxa"/>
            </w:tcMar>
            <w:vAlign w:val="center"/>
          </w:tcPr>
          <w:p w14:paraId="2550021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w:t>
            </w:r>
          </w:p>
        </w:tc>
        <w:tc>
          <w:tcPr>
            <w:tcW w:w="855" w:type="dxa"/>
            <w:shd w:val="clear" w:color="auto" w:fill="auto"/>
            <w:tcMar>
              <w:left w:w="108" w:type="dxa"/>
              <w:right w:w="108" w:type="dxa"/>
            </w:tcMar>
            <w:vAlign w:val="center"/>
          </w:tcPr>
          <w:p w14:paraId="685F50E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2</w:t>
            </w:r>
          </w:p>
        </w:tc>
        <w:tc>
          <w:tcPr>
            <w:tcW w:w="720" w:type="dxa"/>
            <w:shd w:val="clear" w:color="auto" w:fill="auto"/>
            <w:tcMar>
              <w:left w:w="108" w:type="dxa"/>
              <w:right w:w="108" w:type="dxa"/>
            </w:tcMar>
            <w:vAlign w:val="center"/>
          </w:tcPr>
          <w:p w14:paraId="7C843B2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3</w:t>
            </w:r>
          </w:p>
        </w:tc>
        <w:tc>
          <w:tcPr>
            <w:tcW w:w="675" w:type="dxa"/>
            <w:shd w:val="clear" w:color="auto" w:fill="auto"/>
            <w:tcMar>
              <w:left w:w="108" w:type="dxa"/>
              <w:right w:w="108" w:type="dxa"/>
            </w:tcMar>
            <w:vAlign w:val="center"/>
          </w:tcPr>
          <w:p w14:paraId="7D7EEB3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4</w:t>
            </w:r>
          </w:p>
        </w:tc>
        <w:tc>
          <w:tcPr>
            <w:tcW w:w="360" w:type="dxa"/>
            <w:shd w:val="clear" w:color="auto" w:fill="auto"/>
            <w:tcMar>
              <w:left w:w="108" w:type="dxa"/>
              <w:right w:w="108" w:type="dxa"/>
            </w:tcMar>
            <w:vAlign w:val="center"/>
          </w:tcPr>
          <w:p w14:paraId="31902CC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5</w:t>
            </w:r>
          </w:p>
        </w:tc>
        <w:tc>
          <w:tcPr>
            <w:tcW w:w="1065" w:type="dxa"/>
            <w:shd w:val="clear" w:color="auto" w:fill="auto"/>
            <w:tcMar>
              <w:left w:w="108" w:type="dxa"/>
              <w:right w:w="108" w:type="dxa"/>
            </w:tcMar>
            <w:vAlign w:val="center"/>
          </w:tcPr>
          <w:p w14:paraId="3BA8211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6</w:t>
            </w:r>
          </w:p>
        </w:tc>
        <w:tc>
          <w:tcPr>
            <w:tcW w:w="797" w:type="dxa"/>
            <w:shd w:val="clear" w:color="auto" w:fill="auto"/>
            <w:tcMar>
              <w:left w:w="108" w:type="dxa"/>
              <w:right w:w="108" w:type="dxa"/>
            </w:tcMar>
            <w:vAlign w:val="center"/>
          </w:tcPr>
          <w:p w14:paraId="13CEA13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7</w:t>
            </w:r>
          </w:p>
        </w:tc>
        <w:tc>
          <w:tcPr>
            <w:tcW w:w="643" w:type="dxa"/>
            <w:shd w:val="clear" w:color="auto" w:fill="auto"/>
            <w:tcMar>
              <w:left w:w="108" w:type="dxa"/>
              <w:right w:w="108" w:type="dxa"/>
            </w:tcMar>
            <w:vAlign w:val="center"/>
          </w:tcPr>
          <w:p w14:paraId="6E3DD7F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8</w:t>
            </w:r>
          </w:p>
        </w:tc>
        <w:tc>
          <w:tcPr>
            <w:tcW w:w="643" w:type="dxa"/>
            <w:shd w:val="clear" w:color="auto" w:fill="auto"/>
            <w:tcMar>
              <w:left w:w="108" w:type="dxa"/>
              <w:right w:w="108" w:type="dxa"/>
            </w:tcMar>
            <w:vAlign w:val="center"/>
          </w:tcPr>
          <w:p w14:paraId="6FE2FED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9</w:t>
            </w:r>
          </w:p>
        </w:tc>
        <w:tc>
          <w:tcPr>
            <w:tcW w:w="643" w:type="dxa"/>
            <w:shd w:val="clear" w:color="auto" w:fill="auto"/>
            <w:tcMar>
              <w:left w:w="108" w:type="dxa"/>
              <w:right w:w="108" w:type="dxa"/>
            </w:tcMar>
            <w:vAlign w:val="center"/>
          </w:tcPr>
          <w:p w14:paraId="086676E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10</w:t>
            </w:r>
          </w:p>
        </w:tc>
        <w:tc>
          <w:tcPr>
            <w:tcW w:w="646" w:type="dxa"/>
            <w:shd w:val="clear" w:color="auto" w:fill="auto"/>
            <w:tcMar>
              <w:left w:w="108" w:type="dxa"/>
              <w:right w:w="108" w:type="dxa"/>
            </w:tcMar>
            <w:vAlign w:val="center"/>
          </w:tcPr>
          <w:p w14:paraId="0BE6CD7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11</w:t>
            </w:r>
          </w:p>
        </w:tc>
      </w:tr>
      <w:tr w14:paraId="6E61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90" w:type="dxa"/>
            <w:shd w:val="clear" w:color="auto" w:fill="auto"/>
            <w:tcMar>
              <w:left w:w="108" w:type="dxa"/>
              <w:right w:w="108" w:type="dxa"/>
            </w:tcMar>
            <w:vAlign w:val="center"/>
          </w:tcPr>
          <w:p w14:paraId="35F4D39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合计</w:t>
            </w:r>
          </w:p>
        </w:tc>
        <w:tc>
          <w:tcPr>
            <w:tcW w:w="495" w:type="dxa"/>
            <w:shd w:val="clear" w:color="auto" w:fill="auto"/>
            <w:tcMar>
              <w:left w:w="108" w:type="dxa"/>
              <w:right w:w="108" w:type="dxa"/>
            </w:tcMar>
            <w:vAlign w:val="center"/>
          </w:tcPr>
          <w:p w14:paraId="1DE3551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w:t>
            </w:r>
          </w:p>
        </w:tc>
        <w:tc>
          <w:tcPr>
            <w:tcW w:w="855" w:type="dxa"/>
            <w:shd w:val="clear" w:color="auto" w:fill="auto"/>
            <w:tcMar>
              <w:left w:w="108" w:type="dxa"/>
              <w:right w:w="108" w:type="dxa"/>
            </w:tcMar>
            <w:vAlign w:val="center"/>
          </w:tcPr>
          <w:p w14:paraId="4F528562">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cs="宋体"/>
                <w:color w:val="000000"/>
                <w:kern w:val="0"/>
                <w:sz w:val="20"/>
                <w:szCs w:val="20"/>
                <w:lang w:val="en-US" w:eastAsia="zh-CN"/>
              </w:rPr>
              <w:t>142.71</w:t>
            </w:r>
            <w:r>
              <w:rPr>
                <w:rFonts w:hint="eastAsia" w:ascii="宋体" w:hAnsi="宋体" w:eastAsia="宋体" w:cs="宋体"/>
                <w:color w:val="000000"/>
                <w:kern w:val="0"/>
                <w:sz w:val="20"/>
                <w:szCs w:val="20"/>
              </w:rPr>
              <w:t>　</w:t>
            </w:r>
          </w:p>
        </w:tc>
        <w:tc>
          <w:tcPr>
            <w:tcW w:w="855" w:type="dxa"/>
            <w:shd w:val="clear" w:color="auto" w:fill="auto"/>
            <w:tcMar>
              <w:left w:w="108" w:type="dxa"/>
              <w:right w:w="108" w:type="dxa"/>
            </w:tcMar>
            <w:vAlign w:val="center"/>
          </w:tcPr>
          <w:p w14:paraId="637D68E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rPr>
            </w:pPr>
            <w:r>
              <w:rPr>
                <w:rFonts w:hint="eastAsia" w:cs="宋体"/>
                <w:color w:val="000000"/>
                <w:kern w:val="0"/>
                <w:sz w:val="20"/>
                <w:szCs w:val="20"/>
                <w:lang w:val="en-US" w:eastAsia="zh-CN"/>
              </w:rPr>
              <w:t>135.15</w:t>
            </w:r>
          </w:p>
        </w:tc>
        <w:tc>
          <w:tcPr>
            <w:tcW w:w="720" w:type="dxa"/>
            <w:shd w:val="clear" w:color="auto" w:fill="auto"/>
            <w:tcMar>
              <w:left w:w="108" w:type="dxa"/>
              <w:right w:w="108" w:type="dxa"/>
            </w:tcMar>
            <w:vAlign w:val="center"/>
          </w:tcPr>
          <w:p w14:paraId="2D07E75E">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cs="宋体"/>
                <w:color w:val="000000"/>
                <w:kern w:val="0"/>
                <w:sz w:val="20"/>
                <w:szCs w:val="20"/>
                <w:lang w:val="en-US" w:eastAsia="zh-CN"/>
              </w:rPr>
              <w:t>6.86</w:t>
            </w:r>
            <w:r>
              <w:rPr>
                <w:rFonts w:hint="eastAsia" w:ascii="宋体" w:hAnsi="宋体" w:eastAsia="宋体" w:cs="宋体"/>
                <w:color w:val="000000"/>
                <w:kern w:val="0"/>
                <w:sz w:val="20"/>
                <w:szCs w:val="20"/>
              </w:rPr>
              <w:t>　</w:t>
            </w:r>
          </w:p>
        </w:tc>
        <w:tc>
          <w:tcPr>
            <w:tcW w:w="675" w:type="dxa"/>
            <w:shd w:val="clear" w:color="auto" w:fill="auto"/>
            <w:tcMar>
              <w:left w:w="108" w:type="dxa"/>
              <w:right w:w="108" w:type="dxa"/>
            </w:tcMar>
            <w:vAlign w:val="center"/>
          </w:tcPr>
          <w:p w14:paraId="1B1FD325">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360" w:type="dxa"/>
            <w:shd w:val="clear" w:color="auto" w:fill="auto"/>
            <w:tcMar>
              <w:left w:w="108" w:type="dxa"/>
              <w:right w:w="108" w:type="dxa"/>
            </w:tcMar>
            <w:vAlign w:val="center"/>
          </w:tcPr>
          <w:p w14:paraId="1EDBEE6B">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1065" w:type="dxa"/>
            <w:shd w:val="clear" w:color="auto" w:fill="auto"/>
            <w:tcMar>
              <w:left w:w="108" w:type="dxa"/>
              <w:right w:w="108" w:type="dxa"/>
            </w:tcMar>
            <w:vAlign w:val="center"/>
          </w:tcPr>
          <w:p w14:paraId="3457CCE4">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797" w:type="dxa"/>
            <w:shd w:val="clear" w:color="auto" w:fill="auto"/>
            <w:tcMar>
              <w:left w:w="108" w:type="dxa"/>
              <w:right w:w="108" w:type="dxa"/>
            </w:tcMar>
            <w:vAlign w:val="center"/>
          </w:tcPr>
          <w:p w14:paraId="1C83ACC9">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cs="宋体"/>
                <w:color w:val="000000"/>
                <w:kern w:val="0"/>
                <w:sz w:val="20"/>
                <w:szCs w:val="20"/>
                <w:lang w:val="en-US" w:eastAsia="zh-CN"/>
              </w:rPr>
              <w:t>6.86</w:t>
            </w:r>
            <w:r>
              <w:rPr>
                <w:rFonts w:hint="eastAsia" w:ascii="宋体" w:hAnsi="宋体" w:eastAsia="宋体" w:cs="宋体"/>
                <w:color w:val="000000"/>
                <w:kern w:val="0"/>
                <w:sz w:val="20"/>
                <w:szCs w:val="20"/>
              </w:rPr>
              <w:t>　</w:t>
            </w:r>
          </w:p>
        </w:tc>
        <w:tc>
          <w:tcPr>
            <w:tcW w:w="643" w:type="dxa"/>
            <w:shd w:val="clear" w:color="auto" w:fill="auto"/>
            <w:tcMar>
              <w:left w:w="108" w:type="dxa"/>
              <w:right w:w="108" w:type="dxa"/>
            </w:tcMar>
            <w:vAlign w:val="center"/>
          </w:tcPr>
          <w:p w14:paraId="5F63E67D">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643" w:type="dxa"/>
            <w:shd w:val="clear" w:color="auto" w:fill="auto"/>
            <w:tcMar>
              <w:left w:w="108" w:type="dxa"/>
              <w:right w:w="108" w:type="dxa"/>
            </w:tcMar>
            <w:vAlign w:val="center"/>
          </w:tcPr>
          <w:p w14:paraId="6DC452F2">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c>
          <w:tcPr>
            <w:tcW w:w="643" w:type="dxa"/>
            <w:shd w:val="clear" w:color="auto" w:fill="auto"/>
            <w:tcMar>
              <w:left w:w="108" w:type="dxa"/>
              <w:right w:w="108" w:type="dxa"/>
            </w:tcMar>
            <w:vAlign w:val="center"/>
          </w:tcPr>
          <w:p w14:paraId="6ADF34B2">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cs="宋体"/>
                <w:color w:val="000000"/>
                <w:kern w:val="0"/>
                <w:sz w:val="20"/>
                <w:szCs w:val="20"/>
                <w:lang w:val="en-US" w:eastAsia="zh-CN"/>
              </w:rPr>
              <w:t>0.70</w:t>
            </w:r>
            <w:r>
              <w:rPr>
                <w:rFonts w:hint="eastAsia" w:ascii="宋体" w:hAnsi="宋体" w:eastAsia="宋体" w:cs="宋体"/>
                <w:color w:val="000000"/>
                <w:kern w:val="0"/>
                <w:sz w:val="20"/>
                <w:szCs w:val="20"/>
              </w:rPr>
              <w:t>　</w:t>
            </w:r>
          </w:p>
        </w:tc>
        <w:tc>
          <w:tcPr>
            <w:tcW w:w="646" w:type="dxa"/>
            <w:shd w:val="clear" w:color="auto" w:fill="auto"/>
            <w:tcMar>
              <w:left w:w="108" w:type="dxa"/>
              <w:right w:w="108" w:type="dxa"/>
            </w:tcMar>
            <w:vAlign w:val="center"/>
          </w:tcPr>
          <w:p w14:paraId="007BA8D2">
            <w:pPr>
              <w:keepNext w:val="0"/>
              <w:keepLines w:val="0"/>
              <w:widowControl/>
              <w:suppressLineNumbers w:val="0"/>
              <w:spacing w:before="0" w:beforeAutospacing="0" w:after="0" w:afterAutospacing="0"/>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r>
      <w:tr w14:paraId="6ECC7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8887" w:type="dxa"/>
            <w:gridSpan w:val="13"/>
            <w:shd w:val="clear" w:color="auto" w:fill="auto"/>
            <w:tcMar>
              <w:left w:w="108" w:type="dxa"/>
              <w:right w:w="108" w:type="dxa"/>
            </w:tcMar>
            <w:vAlign w:val="bottom"/>
          </w:tcPr>
          <w:p w14:paraId="60801AE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　</w:t>
            </w:r>
          </w:p>
        </w:tc>
      </w:tr>
      <w:tr w14:paraId="37A5C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985" w:type="dxa"/>
            <w:gridSpan w:val="2"/>
            <w:shd w:val="clear" w:color="auto" w:fill="auto"/>
            <w:noWrap/>
            <w:tcMar>
              <w:left w:w="108" w:type="dxa"/>
              <w:right w:w="108" w:type="dxa"/>
            </w:tcMar>
            <w:vAlign w:val="bottom"/>
          </w:tcPr>
          <w:p w14:paraId="6ECC999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填报说明：</w:t>
            </w:r>
          </w:p>
        </w:tc>
        <w:tc>
          <w:tcPr>
            <w:tcW w:w="7902" w:type="dxa"/>
            <w:gridSpan w:val="11"/>
            <w:shd w:val="clear" w:color="auto" w:fill="auto"/>
            <w:noWrap/>
            <w:tcMar>
              <w:left w:w="108" w:type="dxa"/>
              <w:right w:w="108" w:type="dxa"/>
            </w:tcMar>
            <w:vAlign w:val="center"/>
          </w:tcPr>
          <w:p w14:paraId="3CF640AA">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1.资产总额＝流动资产＋固定资产＋对外投资／有价证券＋在建工程＋无形资产＋其他资产</w:t>
            </w:r>
          </w:p>
        </w:tc>
      </w:tr>
      <w:tr w14:paraId="36ECD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490" w:type="dxa"/>
            <w:shd w:val="clear" w:color="auto" w:fill="auto"/>
            <w:noWrap/>
            <w:tcMar>
              <w:left w:w="108" w:type="dxa"/>
              <w:right w:w="108" w:type="dxa"/>
            </w:tcMar>
            <w:vAlign w:val="center"/>
          </w:tcPr>
          <w:p w14:paraId="5E374910">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95" w:type="dxa"/>
            <w:shd w:val="clear" w:color="auto" w:fill="auto"/>
            <w:noWrap/>
            <w:tcMar>
              <w:left w:w="108" w:type="dxa"/>
              <w:right w:w="108" w:type="dxa"/>
            </w:tcMar>
            <w:vAlign w:val="center"/>
          </w:tcPr>
          <w:p w14:paraId="2D7CB901">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2" w:type="dxa"/>
            <w:gridSpan w:val="11"/>
            <w:shd w:val="clear" w:color="auto" w:fill="auto"/>
            <w:noWrap/>
            <w:tcMar>
              <w:left w:w="108" w:type="dxa"/>
              <w:right w:w="108" w:type="dxa"/>
            </w:tcMar>
            <w:vAlign w:val="center"/>
          </w:tcPr>
          <w:p w14:paraId="344D492A">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2.固定资产＝房屋构筑物＋车辆＋单价200万元以上大型设备＋其他固定资产</w:t>
            </w:r>
          </w:p>
        </w:tc>
      </w:tr>
      <w:tr w14:paraId="7CA04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490" w:type="dxa"/>
            <w:shd w:val="clear" w:color="auto" w:fill="auto"/>
            <w:noWrap/>
            <w:tcMar>
              <w:left w:w="108" w:type="dxa"/>
              <w:right w:w="108" w:type="dxa"/>
            </w:tcMar>
            <w:vAlign w:val="center"/>
          </w:tcPr>
          <w:p w14:paraId="230D7D51">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95" w:type="dxa"/>
            <w:shd w:val="clear" w:color="auto" w:fill="auto"/>
            <w:noWrap/>
            <w:tcMar>
              <w:left w:w="108" w:type="dxa"/>
              <w:right w:w="108" w:type="dxa"/>
            </w:tcMar>
            <w:vAlign w:val="center"/>
          </w:tcPr>
          <w:p w14:paraId="0F8CC045">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902" w:type="dxa"/>
            <w:gridSpan w:val="11"/>
            <w:shd w:val="clear" w:color="auto" w:fill="auto"/>
            <w:noWrap/>
            <w:tcMar>
              <w:left w:w="108" w:type="dxa"/>
              <w:right w:w="108" w:type="dxa"/>
            </w:tcMar>
            <w:vAlign w:val="center"/>
          </w:tcPr>
          <w:p w14:paraId="39643B19">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3.填报金额为资产“账面原值”。</w:t>
            </w:r>
          </w:p>
        </w:tc>
      </w:tr>
    </w:tbl>
    <w:p w14:paraId="430D6E59">
      <w:pPr>
        <w:keepNext w:val="0"/>
        <w:keepLines w:val="0"/>
        <w:widowControl/>
        <w:suppressLineNumbers w:val="0"/>
        <w:autoSpaceDE w:val="0"/>
        <w:autoSpaceDN w:val="0"/>
        <w:spacing w:before="0" w:beforeAutospacing="0" w:after="0" w:afterAutospacing="0"/>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shd w:val="clear" w:fill="FFFFFF"/>
        </w:rPr>
        <w:t xml:space="preserve"> </w:t>
      </w:r>
    </w:p>
    <w:p w14:paraId="6D51C60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宋体" w:hAnsi="宋体" w:eastAsia="宋体" w:cs="宋体"/>
          <w:kern w:val="0"/>
          <w:sz w:val="32"/>
          <w:szCs w:val="32"/>
        </w:rPr>
      </w:pPr>
      <w:r>
        <w:rPr>
          <w:rFonts w:hint="eastAsia" w:ascii="黑体" w:hAnsi="宋体" w:eastAsia="黑体" w:cs="黑体"/>
          <w:kern w:val="0"/>
          <w:sz w:val="32"/>
          <w:szCs w:val="32"/>
          <w:shd w:val="clear" w:fill="FFFFFF"/>
        </w:rPr>
        <w:t>三、政府采购支出情况</w:t>
      </w:r>
    </w:p>
    <w:p w14:paraId="6552D4D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fill="FFFFFF"/>
        </w:rPr>
        <w:t>2020年度，部门政府采购支出总额</w:t>
      </w:r>
      <w:r>
        <w:rPr>
          <w:rFonts w:hint="eastAsia" w:ascii="仿宋_GB2312" w:hAnsi="仿宋_GB2312" w:eastAsia="仿宋_GB2312" w:cs="仿宋_GB2312"/>
          <w:color w:val="auto"/>
          <w:kern w:val="0"/>
          <w:sz w:val="32"/>
          <w:szCs w:val="32"/>
          <w:shd w:val="clear" w:fill="FFFFFF"/>
          <w:lang w:val="en-US" w:eastAsia="zh-CN"/>
        </w:rPr>
        <w:t>0.00</w:t>
      </w:r>
      <w:r>
        <w:rPr>
          <w:rFonts w:hint="eastAsia" w:ascii="仿宋_GB2312" w:hAnsi="仿宋_GB2312" w:eastAsia="仿宋_GB2312" w:cs="仿宋_GB2312"/>
          <w:color w:val="auto"/>
          <w:kern w:val="0"/>
          <w:sz w:val="32"/>
          <w:szCs w:val="32"/>
          <w:shd w:val="clear" w:fill="FFFFFF"/>
        </w:rPr>
        <w:t>万元，其中：政府采购货物支出</w:t>
      </w:r>
      <w:r>
        <w:rPr>
          <w:rFonts w:hint="eastAsia" w:ascii="仿宋_GB2312" w:hAnsi="仿宋_GB2312" w:eastAsia="仿宋_GB2312" w:cs="仿宋_GB2312"/>
          <w:color w:val="auto"/>
          <w:kern w:val="0"/>
          <w:sz w:val="32"/>
          <w:szCs w:val="32"/>
          <w:shd w:val="clear" w:fill="FFFFFF"/>
          <w:lang w:val="en-US" w:eastAsia="zh-CN"/>
        </w:rPr>
        <w:t>0.00</w:t>
      </w:r>
      <w:r>
        <w:rPr>
          <w:rFonts w:hint="eastAsia" w:ascii="仿宋_GB2312" w:hAnsi="仿宋_GB2312" w:eastAsia="仿宋_GB2312" w:cs="仿宋_GB2312"/>
          <w:color w:val="auto"/>
          <w:kern w:val="0"/>
          <w:sz w:val="32"/>
          <w:szCs w:val="32"/>
          <w:shd w:val="clear" w:fill="FFFFFF"/>
        </w:rPr>
        <w:t>万元；政府采购工程支出</w:t>
      </w:r>
      <w:r>
        <w:rPr>
          <w:rFonts w:hint="eastAsia" w:ascii="仿宋_GB2312" w:hAnsi="仿宋_GB2312" w:eastAsia="仿宋_GB2312" w:cs="仿宋_GB2312"/>
          <w:color w:val="auto"/>
          <w:kern w:val="0"/>
          <w:sz w:val="32"/>
          <w:szCs w:val="32"/>
          <w:shd w:val="clear" w:fill="FFFFFF"/>
          <w:lang w:val="en-US" w:eastAsia="zh-CN"/>
        </w:rPr>
        <w:t>0.00</w:t>
      </w:r>
      <w:r>
        <w:rPr>
          <w:rFonts w:hint="eastAsia" w:ascii="仿宋_GB2312" w:hAnsi="仿宋_GB2312" w:eastAsia="仿宋_GB2312" w:cs="仿宋_GB2312"/>
          <w:color w:val="auto"/>
          <w:kern w:val="0"/>
          <w:sz w:val="32"/>
          <w:szCs w:val="32"/>
          <w:shd w:val="clear" w:fill="FFFFFF"/>
        </w:rPr>
        <w:t>万元；政府采购服务支出</w:t>
      </w:r>
      <w:r>
        <w:rPr>
          <w:rFonts w:hint="eastAsia" w:ascii="仿宋_GB2312" w:hAnsi="仿宋_GB2312" w:eastAsia="仿宋_GB2312" w:cs="仿宋_GB2312"/>
          <w:color w:val="auto"/>
          <w:kern w:val="0"/>
          <w:sz w:val="32"/>
          <w:szCs w:val="32"/>
          <w:shd w:val="clear" w:fill="FFFFFF"/>
          <w:lang w:val="en-US" w:eastAsia="zh-CN"/>
        </w:rPr>
        <w:t>0.00</w:t>
      </w:r>
      <w:r>
        <w:rPr>
          <w:rFonts w:hint="eastAsia" w:ascii="仿宋_GB2312" w:hAnsi="仿宋_GB2312" w:eastAsia="仿宋_GB2312" w:cs="仿宋_GB2312"/>
          <w:color w:val="auto"/>
          <w:kern w:val="0"/>
          <w:sz w:val="32"/>
          <w:szCs w:val="32"/>
          <w:shd w:val="clear" w:fill="FFFFFF"/>
        </w:rPr>
        <w:t>万元。授予中小企业合同金额</w:t>
      </w:r>
      <w:r>
        <w:rPr>
          <w:rFonts w:hint="eastAsia" w:ascii="仿宋_GB2312" w:hAnsi="仿宋_GB2312" w:eastAsia="仿宋_GB2312" w:cs="仿宋_GB2312"/>
          <w:color w:val="auto"/>
          <w:kern w:val="0"/>
          <w:sz w:val="32"/>
          <w:szCs w:val="32"/>
          <w:shd w:val="clear" w:fill="FFFFFF"/>
          <w:lang w:val="en-US" w:eastAsia="zh-CN"/>
        </w:rPr>
        <w:t>0.00</w:t>
      </w:r>
      <w:r>
        <w:rPr>
          <w:rFonts w:hint="eastAsia" w:ascii="仿宋_GB2312" w:hAnsi="仿宋_GB2312" w:eastAsia="仿宋_GB2312" w:cs="仿宋_GB2312"/>
          <w:color w:val="auto"/>
          <w:kern w:val="0"/>
          <w:sz w:val="32"/>
          <w:szCs w:val="32"/>
          <w:shd w:val="clear" w:fill="FFFFFF"/>
        </w:rPr>
        <w:t>万元，占政府采购支出总额的</w:t>
      </w:r>
      <w:r>
        <w:rPr>
          <w:rFonts w:hint="eastAsia" w:ascii="仿宋_GB2312" w:hAnsi="仿宋_GB2312" w:eastAsia="仿宋_GB2312" w:cs="仿宋_GB2312"/>
          <w:color w:val="auto"/>
          <w:kern w:val="0"/>
          <w:sz w:val="32"/>
          <w:szCs w:val="32"/>
          <w:shd w:val="clear" w:fill="FFFFFF"/>
          <w:lang w:val="en-US" w:eastAsia="zh-CN"/>
        </w:rPr>
        <w:t>0.00</w:t>
      </w:r>
      <w:r>
        <w:rPr>
          <w:rFonts w:hint="eastAsia" w:ascii="仿宋_GB2312" w:hAnsi="仿宋_GB2312" w:eastAsia="仿宋_GB2312" w:cs="仿宋_GB2312"/>
          <w:color w:val="auto"/>
          <w:kern w:val="0"/>
          <w:sz w:val="32"/>
          <w:szCs w:val="32"/>
          <w:shd w:val="clear" w:fill="FFFFFF"/>
        </w:rPr>
        <w:t>%。</w:t>
      </w:r>
    </w:p>
    <w:p w14:paraId="15CE154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宋体" w:hAnsi="宋体" w:eastAsia="宋体" w:cs="宋体"/>
          <w:kern w:val="0"/>
          <w:sz w:val="32"/>
          <w:szCs w:val="32"/>
        </w:rPr>
      </w:pPr>
      <w:r>
        <w:rPr>
          <w:rFonts w:hint="eastAsia" w:ascii="黑体" w:hAnsi="宋体" w:eastAsia="黑体" w:cs="黑体"/>
          <w:color w:val="000000"/>
          <w:kern w:val="0"/>
          <w:sz w:val="32"/>
          <w:szCs w:val="32"/>
          <w:shd w:val="clear" w:fill="FFFFFF"/>
        </w:rPr>
        <w:t>四、</w:t>
      </w:r>
      <w:r>
        <w:rPr>
          <w:rFonts w:hint="eastAsia" w:ascii="黑体" w:hAnsi="宋体" w:eastAsia="黑体" w:cs="黑体"/>
          <w:kern w:val="0"/>
          <w:sz w:val="32"/>
          <w:szCs w:val="32"/>
          <w:shd w:val="clear" w:fill="FFFFFF"/>
        </w:rPr>
        <w:t>部门绩效自评情况</w:t>
      </w:r>
    </w:p>
    <w:p w14:paraId="62F5801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宋体" w:hAnsi="宋体" w:eastAsia="宋体" w:cs="宋体"/>
          <w:kern w:val="0"/>
          <w:sz w:val="32"/>
          <w:szCs w:val="32"/>
        </w:rPr>
      </w:pPr>
      <w:r>
        <w:rPr>
          <w:rFonts w:hint="eastAsia" w:ascii="仿宋_GB2312" w:hAnsi="仿宋_GB2312" w:eastAsia="仿宋_GB2312" w:cs="仿宋_GB2312"/>
          <w:kern w:val="0"/>
          <w:sz w:val="32"/>
          <w:szCs w:val="32"/>
          <w:shd w:val="clear" w:fill="FFFFFF"/>
        </w:rPr>
        <w:t>部门绩效自评情况详见附表（附表10-附表12）。</w:t>
      </w:r>
    </w:p>
    <w:p w14:paraId="7A301C3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宋体" w:hAnsi="宋体" w:eastAsia="宋体" w:cs="宋体"/>
          <w:kern w:val="0"/>
          <w:sz w:val="32"/>
          <w:szCs w:val="32"/>
        </w:rPr>
      </w:pPr>
      <w:r>
        <w:rPr>
          <w:rFonts w:hint="eastAsia" w:ascii="黑体" w:hAnsi="宋体" w:eastAsia="黑体" w:cs="黑体"/>
          <w:kern w:val="0"/>
          <w:sz w:val="32"/>
          <w:szCs w:val="32"/>
          <w:shd w:val="clear" w:fill="FFFFFF"/>
        </w:rPr>
        <w:t>五、其他重要事项情况说明</w:t>
      </w:r>
    </w:p>
    <w:p w14:paraId="0A611E9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color w:val="auto"/>
          <w:kern w:val="0"/>
          <w:sz w:val="32"/>
          <w:szCs w:val="32"/>
          <w:shd w:val="clear" w:fill="FFFFFF"/>
          <w:lang w:val="en-US"/>
        </w:rPr>
      </w:pPr>
      <w:r>
        <w:rPr>
          <w:rFonts w:hint="eastAsia" w:ascii="仿宋_GB2312" w:hAnsi="仿宋_GB2312" w:eastAsia="仿宋_GB2312" w:cs="仿宋_GB2312"/>
          <w:color w:val="auto"/>
          <w:kern w:val="0"/>
          <w:sz w:val="32"/>
          <w:szCs w:val="32"/>
          <w:shd w:val="clear" w:fill="FFFFFF"/>
          <w:lang w:eastAsia="zh-CN"/>
        </w:rPr>
        <w:t>我单位无其他重要事项情况说明。</w:t>
      </w:r>
    </w:p>
    <w:p w14:paraId="7AACEA3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宋体" w:hAnsi="宋体" w:eastAsia="宋体" w:cs="宋体"/>
          <w:kern w:val="0"/>
          <w:sz w:val="32"/>
          <w:szCs w:val="32"/>
        </w:rPr>
      </w:pPr>
      <w:r>
        <w:rPr>
          <w:rFonts w:hint="eastAsia" w:ascii="黑体" w:hAnsi="宋体" w:eastAsia="黑体" w:cs="黑体"/>
          <w:kern w:val="0"/>
          <w:sz w:val="32"/>
          <w:szCs w:val="32"/>
          <w:shd w:val="clear" w:fill="FFFFFF"/>
        </w:rPr>
        <w:t>六、相关口径说明</w:t>
      </w:r>
    </w:p>
    <w:p w14:paraId="00E656C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（一）基本支出中人员经费包括工资福利支出和对个人和家庭的补助，公用经费包括商品和服务支出、资本性支出等人员经费以外的支出。</w:t>
      </w:r>
    </w:p>
    <w:p w14:paraId="188E56B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（二）机关运行经费指行政单位和参照公务员法管理的事业单位使用一般公共预算财政拨款安排的基本支出中的公用经费支出。</w:t>
      </w:r>
    </w:p>
    <w:p w14:paraId="027613C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14:paraId="1A09142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14:paraId="2DE727CB">
      <w:pPr>
        <w:keepNext w:val="0"/>
        <w:keepLines w:val="0"/>
        <w:widowControl/>
        <w:suppressLineNumbers w:val="0"/>
        <w:autoSpaceDE w:val="0"/>
        <w:autoSpaceDN w:val="0"/>
        <w:spacing w:before="0" w:beforeAutospacing="0" w:after="0" w:afterAutospacing="0"/>
        <w:ind w:left="0" w:right="0"/>
        <w:jc w:val="center"/>
        <w:rPr>
          <w:rFonts w:hint="eastAsia" w:ascii="宋体" w:hAnsi="宋体" w:eastAsia="宋体" w:cs="宋体"/>
          <w:kern w:val="0"/>
          <w:sz w:val="32"/>
          <w:szCs w:val="32"/>
        </w:rPr>
      </w:pPr>
      <w:r>
        <w:rPr>
          <w:rFonts w:hint="eastAsia" w:ascii="黑体" w:hAnsi="宋体" w:eastAsia="黑体" w:cs="黑体"/>
          <w:kern w:val="0"/>
          <w:sz w:val="32"/>
          <w:szCs w:val="32"/>
          <w:shd w:val="clear" w:fill="FFFFFF"/>
        </w:rPr>
        <w:t>第五部分  名词解释</w:t>
      </w:r>
    </w:p>
    <w:p w14:paraId="259C8EB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fill="FFFFFF"/>
        </w:rPr>
        <w:t>情况说明里涉及到需要解释说明的决算相关专用名词，在此进行说明解释。若没有涉及专用名词，请说明不涉及专用名词。</w:t>
      </w:r>
    </w:p>
    <w:p w14:paraId="5D9D7219">
      <w:pPr>
        <w:rPr>
          <w:sz w:val="32"/>
          <w:szCs w:val="32"/>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50217"/>
    <w:rsid w:val="02963014"/>
    <w:rsid w:val="05016610"/>
    <w:rsid w:val="072B1189"/>
    <w:rsid w:val="081C5ECE"/>
    <w:rsid w:val="0CC230EB"/>
    <w:rsid w:val="0D4B64CB"/>
    <w:rsid w:val="0E3F33C7"/>
    <w:rsid w:val="13FF0D41"/>
    <w:rsid w:val="14450217"/>
    <w:rsid w:val="19C2502E"/>
    <w:rsid w:val="1A2B6131"/>
    <w:rsid w:val="1D611C8B"/>
    <w:rsid w:val="213A24BC"/>
    <w:rsid w:val="29B15C44"/>
    <w:rsid w:val="300C777E"/>
    <w:rsid w:val="32B86986"/>
    <w:rsid w:val="353A1096"/>
    <w:rsid w:val="371D3CE8"/>
    <w:rsid w:val="38CB09ED"/>
    <w:rsid w:val="3E4900AA"/>
    <w:rsid w:val="41C624EA"/>
    <w:rsid w:val="42FB302B"/>
    <w:rsid w:val="49517F60"/>
    <w:rsid w:val="518A35FB"/>
    <w:rsid w:val="53FD1CAE"/>
    <w:rsid w:val="573E4302"/>
    <w:rsid w:val="5D5064E9"/>
    <w:rsid w:val="670D6078"/>
    <w:rsid w:val="69430325"/>
    <w:rsid w:val="6E7F2601"/>
    <w:rsid w:val="768B4B77"/>
    <w:rsid w:val="7784703F"/>
    <w:rsid w:val="798111E7"/>
    <w:rsid w:val="7AC27AA2"/>
    <w:rsid w:val="7E35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实施方案正文"/>
    <w:basedOn w:val="1"/>
    <w:qFormat/>
    <w:uiPriority w:val="0"/>
    <w:pPr>
      <w:keepNext w:val="0"/>
      <w:keepLines w:val="0"/>
      <w:widowControl w:val="0"/>
      <w:suppressLineNumbers w:val="0"/>
      <w:spacing w:before="0" w:beforeAutospacing="0" w:after="0" w:afterAutospacing="0"/>
      <w:ind w:left="0" w:right="0" w:firstLine="566" w:firstLineChars="202"/>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收入与上年对比分析图</a:t>
            </a:r>
          </a:p>
        </c:rich>
      </c:tx>
      <c:layout>
        <c:manualLayout>
          <c:xMode val="edge"/>
          <c:yMode val="edge"/>
          <c:x val="0.297777777777778"/>
          <c:y val="0.0243055555555556"/>
        </c:manualLayout>
      </c:layout>
      <c:overlay val="0"/>
      <c:spPr>
        <a:noFill/>
        <a:ln>
          <a:noFill/>
        </a:ln>
        <a:effectLst/>
      </c:spPr>
    </c:title>
    <c:autoTitleDeleted val="0"/>
    <c:plotArea>
      <c:layout/>
      <c:barChart>
        <c:barDir val="col"/>
        <c:grouping val="clustered"/>
        <c:varyColors val="0"/>
        <c:ser>
          <c:idx val="0"/>
          <c:order val="0"/>
          <c:tx>
            <c:strRef>
              <c:f>"2019年"</c:f>
              <c:strCache>
                <c:ptCount val="1"/>
                <c:pt idx="0">
                  <c:v>2019年</c:v>
                </c:pt>
              </c:strCache>
            </c:strRef>
          </c:tx>
          <c:spPr>
            <a:solidFill>
              <a:srgbClr val="4F81BD"/>
            </a:solidFill>
            <a:ln>
              <a:noFill/>
            </a:ln>
            <a:effectLst/>
          </c:spPr>
          <c:invertIfNegative val="0"/>
          <c:dLbls>
            <c:delete val="1"/>
          </c:dLbls>
          <c:cat>
            <c:strRef>
              <c:f>[工作簿1]Sheet1!$B$18:$J$18</c:f>
              <c:strCache>
                <c:ptCount val="9"/>
                <c:pt idx="0">
                  <c:v>机构运行</c:v>
                </c:pt>
                <c:pt idx="1">
                  <c:v>科普活动</c:v>
                </c:pt>
                <c:pt idx="2">
                  <c:v>机关事业单位基本养老保险缴费支出</c:v>
                </c:pt>
                <c:pt idx="3">
                  <c:v>机关事业单位职业年金缴费支出</c:v>
                </c:pt>
                <c:pt idx="4">
                  <c:v>其他社会保障和就业支出</c:v>
                </c:pt>
                <c:pt idx="5">
                  <c:v>事业单位医疗</c:v>
                </c:pt>
                <c:pt idx="6">
                  <c:v>公务员医疗补助</c:v>
                </c:pt>
                <c:pt idx="7">
                  <c:v>其他行政事业单位医疗支出</c:v>
                </c:pt>
                <c:pt idx="8">
                  <c:v>住房公积金</c:v>
                </c:pt>
              </c:strCache>
            </c:strRef>
          </c:cat>
          <c:val>
            <c:numRef>
              <c:f>[工作簿1]Sheet1!$B$19:$J$19</c:f>
              <c:numCache>
                <c:formatCode>General</c:formatCode>
                <c:ptCount val="9"/>
                <c:pt idx="0">
                  <c:v>100.45</c:v>
                </c:pt>
                <c:pt idx="1">
                  <c:v>0</c:v>
                </c:pt>
                <c:pt idx="2">
                  <c:v>12.47</c:v>
                </c:pt>
                <c:pt idx="3">
                  <c:v>5.86</c:v>
                </c:pt>
                <c:pt idx="4">
                  <c:v>0.3</c:v>
                </c:pt>
                <c:pt idx="5">
                  <c:v>6.75</c:v>
                </c:pt>
                <c:pt idx="6">
                  <c:v>3.76</c:v>
                </c:pt>
                <c:pt idx="7">
                  <c:v>0.39</c:v>
                </c:pt>
                <c:pt idx="8">
                  <c:v>9.72</c:v>
                </c:pt>
              </c:numCache>
            </c:numRef>
          </c:val>
        </c:ser>
        <c:ser>
          <c:idx val="1"/>
          <c:order val="1"/>
          <c:tx>
            <c:strRef>
              <c:f>"2020年"</c:f>
              <c:strCache>
                <c:ptCount val="1"/>
                <c:pt idx="0">
                  <c:v>2020年</c:v>
                </c:pt>
              </c:strCache>
            </c:strRef>
          </c:tx>
          <c:spPr>
            <a:solidFill>
              <a:srgbClr val="C0504D"/>
            </a:solidFill>
            <a:ln>
              <a:noFill/>
            </a:ln>
            <a:effectLst/>
          </c:spPr>
          <c:invertIfNegative val="0"/>
          <c:dLbls>
            <c:delete val="1"/>
          </c:dLbls>
          <c:cat>
            <c:strRef>
              <c:f>[工作簿1]Sheet1!$B$18:$J$18</c:f>
              <c:strCache>
                <c:ptCount val="9"/>
                <c:pt idx="0">
                  <c:v>机构运行</c:v>
                </c:pt>
                <c:pt idx="1">
                  <c:v>科普活动</c:v>
                </c:pt>
                <c:pt idx="2">
                  <c:v>机关事业单位基本养老保险缴费支出</c:v>
                </c:pt>
                <c:pt idx="3">
                  <c:v>机关事业单位职业年金缴费支出</c:v>
                </c:pt>
                <c:pt idx="4">
                  <c:v>其他社会保障和就业支出</c:v>
                </c:pt>
                <c:pt idx="5">
                  <c:v>事业单位医疗</c:v>
                </c:pt>
                <c:pt idx="6">
                  <c:v>公务员医疗补助</c:v>
                </c:pt>
                <c:pt idx="7">
                  <c:v>其他行政事业单位医疗支出</c:v>
                </c:pt>
                <c:pt idx="8">
                  <c:v>住房公积金</c:v>
                </c:pt>
              </c:strCache>
            </c:strRef>
          </c:cat>
          <c:val>
            <c:numRef>
              <c:f>[工作簿1]Sheet1!$B$20:$J$20</c:f>
              <c:numCache>
                <c:formatCode>General</c:formatCode>
                <c:ptCount val="9"/>
                <c:pt idx="0">
                  <c:v>98.1</c:v>
                </c:pt>
                <c:pt idx="1">
                  <c:v>22.94</c:v>
                </c:pt>
                <c:pt idx="2">
                  <c:v>10.74</c:v>
                </c:pt>
                <c:pt idx="3">
                  <c:v>5.37</c:v>
                </c:pt>
                <c:pt idx="4">
                  <c:v>0</c:v>
                </c:pt>
                <c:pt idx="5">
                  <c:v>6.52</c:v>
                </c:pt>
                <c:pt idx="6">
                  <c:v>3.64</c:v>
                </c:pt>
                <c:pt idx="7">
                  <c:v>0.3</c:v>
                </c:pt>
                <c:pt idx="8">
                  <c:v>10.85</c:v>
                </c:pt>
              </c:numCache>
            </c:numRef>
          </c:val>
        </c:ser>
        <c:dLbls>
          <c:showLegendKey val="0"/>
          <c:showVal val="0"/>
          <c:showCatName val="0"/>
          <c:showSerName val="0"/>
          <c:showPercent val="0"/>
          <c:showBubbleSize val="0"/>
        </c:dLbls>
        <c:gapWidth val="219"/>
        <c:overlap val="-27"/>
        <c:axId val="979729082"/>
        <c:axId val="972945082"/>
      </c:barChart>
      <c:catAx>
        <c:axId val="97972908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2945082"/>
        <c:crosses val="autoZero"/>
        <c:auto val="1"/>
        <c:lblAlgn val="ctr"/>
        <c:lblOffset val="100"/>
        <c:noMultiLvlLbl val="0"/>
      </c:catAx>
      <c:valAx>
        <c:axId val="97294508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972908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e222afcc-414d-49c8-96de-36e28f0fe8e6}"/>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支出与上年对比分析图</a:t>
            </a:r>
          </a:p>
        </c:rich>
      </c:tx>
      <c:layout>
        <c:manualLayout>
          <c:xMode val="edge"/>
          <c:yMode val="edge"/>
          <c:x val="0.299033816425121"/>
          <c:y val="0.0308219178082192"/>
        </c:manualLayout>
      </c:layout>
      <c:overlay val="0"/>
      <c:spPr>
        <a:noFill/>
        <a:ln>
          <a:noFill/>
        </a:ln>
        <a:effectLst/>
      </c:spPr>
    </c:title>
    <c:autoTitleDeleted val="0"/>
    <c:plotArea>
      <c:layout/>
      <c:barChart>
        <c:barDir val="col"/>
        <c:grouping val="clustered"/>
        <c:varyColors val="0"/>
        <c:ser>
          <c:idx val="0"/>
          <c:order val="0"/>
          <c:tx>
            <c:strRef>
              <c:f>"2019年"</c:f>
              <c:strCache>
                <c:ptCount val="1"/>
                <c:pt idx="0">
                  <c:v>2019年</c:v>
                </c:pt>
              </c:strCache>
            </c:strRef>
          </c:tx>
          <c:spPr>
            <a:solidFill>
              <a:srgbClr val="4F81BD"/>
            </a:solidFill>
            <a:ln>
              <a:noFill/>
            </a:ln>
            <a:effectLst/>
          </c:spPr>
          <c:invertIfNegative val="0"/>
          <c:dLbls>
            <c:delete val="1"/>
          </c:dLbls>
          <c:cat>
            <c:strRef>
              <c:f>[工作簿1]Sheet1!$B$18:$J$18</c:f>
              <c:strCache>
                <c:ptCount val="9"/>
                <c:pt idx="0">
                  <c:v>机构运行</c:v>
                </c:pt>
                <c:pt idx="1">
                  <c:v>科普活动</c:v>
                </c:pt>
                <c:pt idx="2">
                  <c:v>机关事业单位基本养老保险缴费支出</c:v>
                </c:pt>
                <c:pt idx="3">
                  <c:v>机关事业单位职业年金缴费支出</c:v>
                </c:pt>
                <c:pt idx="4">
                  <c:v>其他社会保障和就业支出</c:v>
                </c:pt>
                <c:pt idx="5">
                  <c:v>事业单位医疗</c:v>
                </c:pt>
                <c:pt idx="6">
                  <c:v>公务员医疗补助</c:v>
                </c:pt>
                <c:pt idx="7">
                  <c:v>其他行政事业单位医疗支出</c:v>
                </c:pt>
                <c:pt idx="8">
                  <c:v>住房公积金</c:v>
                </c:pt>
              </c:strCache>
            </c:strRef>
          </c:cat>
          <c:val>
            <c:numRef>
              <c:f>[工作簿1]Sheet1!$B$19:$J$19</c:f>
              <c:numCache>
                <c:formatCode>General</c:formatCode>
                <c:ptCount val="9"/>
                <c:pt idx="0">
                  <c:v>100.45</c:v>
                </c:pt>
                <c:pt idx="1">
                  <c:v>0</c:v>
                </c:pt>
                <c:pt idx="2">
                  <c:v>12.47</c:v>
                </c:pt>
                <c:pt idx="3">
                  <c:v>5.86</c:v>
                </c:pt>
                <c:pt idx="4">
                  <c:v>0.3</c:v>
                </c:pt>
                <c:pt idx="5">
                  <c:v>6.75</c:v>
                </c:pt>
                <c:pt idx="6">
                  <c:v>3.76</c:v>
                </c:pt>
                <c:pt idx="7">
                  <c:v>0.39</c:v>
                </c:pt>
                <c:pt idx="8">
                  <c:v>9.72</c:v>
                </c:pt>
              </c:numCache>
            </c:numRef>
          </c:val>
        </c:ser>
        <c:ser>
          <c:idx val="1"/>
          <c:order val="1"/>
          <c:tx>
            <c:strRef>
              <c:f>"2020年"</c:f>
              <c:strCache>
                <c:ptCount val="1"/>
                <c:pt idx="0">
                  <c:v>2020年</c:v>
                </c:pt>
              </c:strCache>
            </c:strRef>
          </c:tx>
          <c:spPr>
            <a:solidFill>
              <a:srgbClr val="C0504D"/>
            </a:solidFill>
            <a:ln>
              <a:noFill/>
            </a:ln>
            <a:effectLst/>
          </c:spPr>
          <c:invertIfNegative val="0"/>
          <c:dLbls>
            <c:delete val="1"/>
          </c:dLbls>
          <c:cat>
            <c:strRef>
              <c:f>[工作簿1]Sheet1!$B$18:$J$18</c:f>
              <c:strCache>
                <c:ptCount val="9"/>
                <c:pt idx="0">
                  <c:v>机构运行</c:v>
                </c:pt>
                <c:pt idx="1">
                  <c:v>科普活动</c:v>
                </c:pt>
                <c:pt idx="2">
                  <c:v>机关事业单位基本养老保险缴费支出</c:v>
                </c:pt>
                <c:pt idx="3">
                  <c:v>机关事业单位职业年金缴费支出</c:v>
                </c:pt>
                <c:pt idx="4">
                  <c:v>其他社会保障和就业支出</c:v>
                </c:pt>
                <c:pt idx="5">
                  <c:v>事业单位医疗</c:v>
                </c:pt>
                <c:pt idx="6">
                  <c:v>公务员医疗补助</c:v>
                </c:pt>
                <c:pt idx="7">
                  <c:v>其他行政事业单位医疗支出</c:v>
                </c:pt>
                <c:pt idx="8">
                  <c:v>住房公积金</c:v>
                </c:pt>
              </c:strCache>
            </c:strRef>
          </c:cat>
          <c:val>
            <c:numRef>
              <c:f>[工作簿1]Sheet1!$B$20:$J$20</c:f>
              <c:numCache>
                <c:formatCode>General</c:formatCode>
                <c:ptCount val="9"/>
                <c:pt idx="0">
                  <c:v>98.1</c:v>
                </c:pt>
                <c:pt idx="1">
                  <c:v>22.94</c:v>
                </c:pt>
                <c:pt idx="2">
                  <c:v>10.74</c:v>
                </c:pt>
                <c:pt idx="3">
                  <c:v>5.37</c:v>
                </c:pt>
                <c:pt idx="4">
                  <c:v>0</c:v>
                </c:pt>
                <c:pt idx="5">
                  <c:v>6.52</c:v>
                </c:pt>
                <c:pt idx="6">
                  <c:v>3.64</c:v>
                </c:pt>
                <c:pt idx="7">
                  <c:v>0.3</c:v>
                </c:pt>
                <c:pt idx="8">
                  <c:v>10.85</c:v>
                </c:pt>
              </c:numCache>
            </c:numRef>
          </c:val>
        </c:ser>
        <c:dLbls>
          <c:showLegendKey val="0"/>
          <c:showVal val="0"/>
          <c:showCatName val="0"/>
          <c:showSerName val="0"/>
          <c:showPercent val="0"/>
          <c:showBubbleSize val="0"/>
        </c:dLbls>
        <c:gapWidth val="219"/>
        <c:overlap val="-27"/>
        <c:axId val="979729082"/>
        <c:axId val="972945082"/>
      </c:barChart>
      <c:catAx>
        <c:axId val="97972908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2945082"/>
        <c:crosses val="autoZero"/>
        <c:auto val="1"/>
        <c:lblAlgn val="ctr"/>
        <c:lblOffset val="100"/>
        <c:noMultiLvlLbl val="0"/>
      </c:catAx>
      <c:valAx>
        <c:axId val="97294508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9729082"/>
        <c:crosses val="autoZero"/>
        <c:crossBetween val="between"/>
      </c:valAx>
      <c:dTable>
        <c:showHorzBorder val="1"/>
        <c:showVertBorder val="1"/>
        <c:showOutline val="1"/>
        <c:showKeys val="1"/>
        <c:spPr>
          <a:noFill/>
          <a:ln w="9525" cap="flat" cmpd="sng" algn="ctr">
            <a:solidFill>
              <a:srgbClr val="D9D9D9">
                <a:lumMod val="15000"/>
                <a:lumOff val="85000"/>
              </a:srgbClr>
            </a:solidFill>
            <a:round/>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a6dd0d98-563e-4888-b0dd-8bcce96003ca}"/>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21</Pages>
  <Words>8415</Words>
  <Characters>9321</Characters>
  <Lines>0</Lines>
  <Paragraphs>0</Paragraphs>
  <TotalTime>18</TotalTime>
  <ScaleCrop>false</ScaleCrop>
  <LinksUpToDate>false</LinksUpToDate>
  <CharactersWithSpaces>9383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2021-09-13T06:33:00Z</dcterms:created>
  <dc:creator>Administrator</dc:creator>
  <cp:lastModifiedBy>方</cp:lastModifiedBy>
  <dcterms:modified xsi:type="dcterms:W3CDTF">2024-11-27T08:32:58Z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D89F8EA3B10749538294E3868A118474_13</vt:lpwstr>
  </property>
</Properties>
</file>